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00" w:rsidRDefault="00BC4900" w:rsidP="00BC4900">
      <w:pPr>
        <w:pStyle w:val="appendix"/>
        <w:spacing w:before="200" w:beforeAutospacing="0" w:after="400" w:afterAutospacing="0"/>
        <w:rPr>
          <w:rFonts w:cs="Times New Roman"/>
        </w:rPr>
      </w:pPr>
      <w:bookmarkStart w:id="0" w:name="_GoBack"/>
      <w:bookmarkEnd w:id="0"/>
      <w:r>
        <w:rPr>
          <w:rFonts w:cs="Times New Roman"/>
          <w:caps/>
          <w:sz w:val="32"/>
          <w:szCs w:val="32"/>
        </w:rPr>
        <w:t>The Belmont Uplands Site</w:t>
      </w:r>
      <w:r>
        <w:rPr>
          <w:rFonts w:cs="Times New Roman"/>
          <w:caps/>
          <w:sz w:val="32"/>
          <w:szCs w:val="32"/>
        </w:rPr>
        <w:br/>
        <w:t>and Alewife Reservation:</w:t>
      </w:r>
      <w:r>
        <w:rPr>
          <w:rFonts w:cs="Times New Roman"/>
          <w:caps/>
          <w:sz w:val="32"/>
          <w:szCs w:val="32"/>
        </w:rPr>
        <w:br/>
        <w:t>An Ecological Overview of</w:t>
      </w:r>
      <w:r>
        <w:rPr>
          <w:rFonts w:cs="Times New Roman"/>
          <w:caps/>
          <w:sz w:val="32"/>
          <w:szCs w:val="32"/>
        </w:rPr>
        <w:br/>
        <w:t>Present and Future Status</w:t>
      </w:r>
    </w:p>
    <w:p w:rsidR="00BC4900" w:rsidRDefault="00BC4900" w:rsidP="00BC4900">
      <w:pPr>
        <w:spacing w:before="100" w:beforeAutospacing="1" w:after="100" w:afterAutospacing="1"/>
        <w:jc w:val="center"/>
        <w:rPr>
          <w:rFonts w:cs="Times New Roman"/>
        </w:rPr>
      </w:pPr>
      <w:r>
        <w:rPr>
          <w:rFonts w:cs="Times New Roman"/>
          <w:b/>
          <w:bCs/>
        </w:rPr>
        <w:t>Prepared for</w:t>
      </w:r>
    </w:p>
    <w:p w:rsidR="00BC4900" w:rsidRDefault="00BC4900" w:rsidP="00BC4900">
      <w:pPr>
        <w:spacing w:before="100" w:beforeAutospacing="1" w:after="100" w:afterAutospacing="1"/>
        <w:jc w:val="center"/>
        <w:rPr>
          <w:rFonts w:cs="Times New Roman"/>
        </w:rPr>
      </w:pPr>
      <w:r>
        <w:rPr>
          <w:rFonts w:cs="Times New Roman"/>
          <w:b/>
          <w:bCs/>
        </w:rPr>
        <w:t>FRIENDS OF ALEWIFE RESERVATION</w:t>
      </w:r>
    </w:p>
    <w:p w:rsidR="00BC4900" w:rsidRDefault="00BC4900" w:rsidP="00BC4900">
      <w:pPr>
        <w:spacing w:before="100" w:beforeAutospacing="1" w:after="100" w:afterAutospacing="1"/>
        <w:jc w:val="center"/>
        <w:rPr>
          <w:rFonts w:cs="Times New Roman"/>
        </w:rPr>
      </w:pPr>
      <w:r>
        <w:rPr>
          <w:rFonts w:cs="Times New Roman"/>
          <w:b/>
          <w:bCs/>
        </w:rPr>
        <w:t>186 Alewife Brook Parkway, Suite 304</w:t>
      </w:r>
    </w:p>
    <w:p w:rsidR="00BC4900" w:rsidRDefault="00BC4900" w:rsidP="00BC4900">
      <w:pPr>
        <w:spacing w:before="100" w:beforeAutospacing="1" w:after="100" w:afterAutospacing="1"/>
        <w:jc w:val="center"/>
        <w:rPr>
          <w:rFonts w:cs="Times New Roman"/>
        </w:rPr>
      </w:pPr>
      <w:r>
        <w:rPr>
          <w:rFonts w:cs="Times New Roman"/>
          <w:b/>
          <w:bCs/>
        </w:rPr>
        <w:t>Cambridge, Massachusetts 02138</w:t>
      </w:r>
    </w:p>
    <w:p w:rsidR="00BC4900" w:rsidRDefault="00BC4900" w:rsidP="00BC4900">
      <w:pPr>
        <w:spacing w:before="100" w:beforeAutospacing="1" w:after="100" w:afterAutospacing="1"/>
        <w:jc w:val="center"/>
        <w:rPr>
          <w:rFonts w:cs="Times New Roman"/>
        </w:rPr>
      </w:pPr>
      <w:r>
        <w:rPr>
          <w:rFonts w:cs="Times New Roman"/>
          <w:b/>
          <w:bCs/>
        </w:rPr>
        <w:t> </w:t>
      </w:r>
    </w:p>
    <w:p w:rsidR="00BC4900" w:rsidRDefault="00BC4900" w:rsidP="00BC4900">
      <w:pPr>
        <w:spacing w:before="100" w:beforeAutospacing="1" w:after="100" w:afterAutospacing="1"/>
        <w:jc w:val="center"/>
        <w:rPr>
          <w:rFonts w:cs="Times New Roman"/>
        </w:rPr>
      </w:pPr>
      <w:r>
        <w:rPr>
          <w:rFonts w:cs="Times New Roman"/>
          <w:b/>
          <w:bCs/>
        </w:rPr>
        <w:t> </w:t>
      </w:r>
    </w:p>
    <w:p w:rsidR="00BC4900" w:rsidRDefault="00BC4900" w:rsidP="00BC4900">
      <w:pPr>
        <w:spacing w:before="100" w:beforeAutospacing="1" w:after="100" w:afterAutospacing="1"/>
        <w:jc w:val="center"/>
        <w:rPr>
          <w:rFonts w:cs="Times New Roman"/>
        </w:rPr>
      </w:pPr>
      <w:r>
        <w:rPr>
          <w:rFonts w:cs="Times New Roman"/>
          <w:b/>
          <w:bCs/>
        </w:rPr>
        <w:t>Prepared by</w:t>
      </w:r>
    </w:p>
    <w:p w:rsidR="00BC4900" w:rsidRDefault="00BC4900" w:rsidP="00BC4900">
      <w:pPr>
        <w:spacing w:before="100" w:beforeAutospacing="1" w:after="100" w:afterAutospacing="1"/>
        <w:jc w:val="center"/>
        <w:rPr>
          <w:rFonts w:cs="Times New Roman"/>
        </w:rPr>
      </w:pPr>
      <w:r>
        <w:rPr>
          <w:rFonts w:cs="Times New Roman"/>
          <w:b/>
          <w:bCs/>
        </w:rPr>
        <w:t>NORMANDEAU ASSOCIATES, INC.</w:t>
      </w:r>
    </w:p>
    <w:p w:rsidR="00BC4900" w:rsidRDefault="00BC4900" w:rsidP="00BC4900">
      <w:pPr>
        <w:spacing w:before="100" w:beforeAutospacing="1" w:after="100" w:afterAutospacing="1"/>
        <w:jc w:val="center"/>
        <w:rPr>
          <w:rFonts w:cs="Times New Roman"/>
        </w:rPr>
      </w:pPr>
      <w:r>
        <w:rPr>
          <w:rFonts w:cs="Times New Roman"/>
          <w:b/>
          <w:bCs/>
        </w:rPr>
        <w:t>25 Nashua Road</w:t>
      </w:r>
    </w:p>
    <w:p w:rsidR="00BC4900" w:rsidRDefault="00BC4900" w:rsidP="00BC4900">
      <w:pPr>
        <w:spacing w:before="100" w:beforeAutospacing="1" w:after="100" w:afterAutospacing="1"/>
        <w:jc w:val="center"/>
        <w:rPr>
          <w:rFonts w:cs="Times New Roman"/>
        </w:rPr>
      </w:pPr>
      <w:r>
        <w:rPr>
          <w:rFonts w:cs="Times New Roman"/>
          <w:b/>
          <w:bCs/>
        </w:rPr>
        <w:t>Bedford, NH 03110</w:t>
      </w:r>
    </w:p>
    <w:p w:rsidR="00BC4900" w:rsidRDefault="00BC4900" w:rsidP="00BC4900">
      <w:pPr>
        <w:pStyle w:val="Heading8"/>
        <w:rPr>
          <w:rFonts w:cs="Times New Roman"/>
        </w:rPr>
      </w:pPr>
      <w:r>
        <w:rPr>
          <w:rFonts w:cs="Times New Roman"/>
        </w:rPr>
        <w:t>R-20694.000</w:t>
      </w:r>
    </w:p>
    <w:p w:rsidR="00BC4900" w:rsidRDefault="00BC4900" w:rsidP="00BC4900">
      <w:pPr>
        <w:spacing w:before="100" w:beforeAutospacing="1" w:after="100" w:afterAutospacing="1"/>
        <w:jc w:val="center"/>
        <w:rPr>
          <w:rFonts w:cs="Times New Roman"/>
        </w:rPr>
      </w:pPr>
      <w:r>
        <w:rPr>
          <w:rFonts w:cs="Times New Roman"/>
          <w:b/>
          <w:bCs/>
        </w:rPr>
        <w:t> </w:t>
      </w:r>
    </w:p>
    <w:p w:rsidR="00BC4900" w:rsidRDefault="00BC4900" w:rsidP="00BC4900">
      <w:pPr>
        <w:pStyle w:val="Heading8"/>
        <w:spacing w:before="0" w:beforeAutospacing="0"/>
        <w:rPr>
          <w:rFonts w:cs="Times New Roman"/>
        </w:rPr>
      </w:pPr>
      <w:r>
        <w:rPr>
          <w:rFonts w:cs="Times New Roman"/>
        </w:rPr>
        <w:t>February 2006</w:t>
      </w:r>
    </w:p>
    <w:p w:rsidR="00BC4900" w:rsidRDefault="00BC4900" w:rsidP="00BC4900">
      <w:pPr>
        <w:pStyle w:val="appendix"/>
        <w:spacing w:before="0" w:beforeAutospacing="0" w:after="0" w:afterAutospacing="0"/>
        <w:rPr>
          <w:rFonts w:cs="Times New Roman"/>
        </w:rPr>
      </w:pPr>
      <w:r>
        <w:rPr>
          <w:rFonts w:cs="Times New Roman"/>
        </w:rPr>
        <w:t>Table of Contents</w:t>
      </w:r>
    </w:p>
    <w:p w:rsidR="00BC4900" w:rsidRDefault="00BC4900" w:rsidP="00BC4900">
      <w:pPr>
        <w:spacing w:before="100" w:beforeAutospacing="1" w:after="100" w:afterAutospacing="1"/>
        <w:rPr>
          <w:rFonts w:cs="Times New Roman"/>
        </w:rPr>
      </w:pPr>
      <w:r>
        <w:rPr>
          <w:rFonts w:cs="Times New Roman"/>
          <w:sz w:val="28"/>
          <w:szCs w:val="28"/>
        </w:rPr>
        <w:t> </w:t>
      </w:r>
    </w:p>
    <w:p w:rsidR="00BC4900" w:rsidRDefault="00BC4900" w:rsidP="00BC4900">
      <w:pPr>
        <w:spacing w:before="100" w:beforeAutospacing="1" w:after="100" w:afterAutospacing="1"/>
        <w:jc w:val="right"/>
        <w:rPr>
          <w:rFonts w:cs="Times New Roman"/>
        </w:rPr>
      </w:pPr>
      <w:r>
        <w:rPr>
          <w:rFonts w:cs="Times New Roman"/>
          <w:b/>
          <w:bCs/>
        </w:rPr>
        <w:t>Page</w:t>
      </w:r>
    </w:p>
    <w:p w:rsidR="00BC4900" w:rsidRDefault="00BC4900" w:rsidP="00BC4900">
      <w:pPr>
        <w:spacing w:before="100" w:beforeAutospacing="1" w:after="100" w:afterAutospacing="1"/>
        <w:jc w:val="right"/>
        <w:rPr>
          <w:rFonts w:cs="Times New Roman"/>
        </w:rPr>
      </w:pPr>
      <w:r>
        <w:rPr>
          <w:rFonts w:cs="Times New Roman"/>
          <w:b/>
          <w:bCs/>
        </w:rPr>
        <w:t> </w:t>
      </w:r>
    </w:p>
    <w:p w:rsidR="00BC4900" w:rsidRDefault="00BC4900" w:rsidP="00BC4900">
      <w:pPr>
        <w:pStyle w:val="TOC1"/>
        <w:rPr>
          <w:rFonts w:cs="Times New Roman"/>
        </w:rPr>
      </w:pPr>
      <w:r>
        <w:rPr>
          <w:rFonts w:cs="Times New Roman"/>
        </w:rPr>
        <w:t>1.0</w:t>
      </w:r>
      <w:r>
        <w:rPr>
          <w:rFonts w:cs="Times New Roman"/>
          <w:sz w:val="24"/>
          <w:szCs w:val="24"/>
        </w:rPr>
        <w:t xml:space="preserve"> </w:t>
      </w:r>
      <w:r>
        <w:rPr>
          <w:rFonts w:cs="Times New Roman"/>
        </w:rPr>
        <w:t>Introduction......................................................................................................... 1</w:t>
      </w:r>
    </w:p>
    <w:p w:rsidR="00BC4900" w:rsidRDefault="00BC4900" w:rsidP="00BC4900">
      <w:pPr>
        <w:pStyle w:val="TOC1"/>
        <w:rPr>
          <w:rFonts w:cs="Times New Roman"/>
        </w:rPr>
      </w:pPr>
      <w:r>
        <w:rPr>
          <w:rFonts w:cs="Times New Roman"/>
        </w:rPr>
        <w:t>2.0</w:t>
      </w:r>
      <w:r>
        <w:rPr>
          <w:rFonts w:cs="Times New Roman"/>
          <w:sz w:val="24"/>
          <w:szCs w:val="24"/>
        </w:rPr>
        <w:t xml:space="preserve"> </w:t>
      </w:r>
      <w:r>
        <w:rPr>
          <w:rFonts w:cs="Times New Roman"/>
        </w:rPr>
        <w:t>Principal Findings............................................................................................... 1</w:t>
      </w:r>
    </w:p>
    <w:p w:rsidR="00BC4900" w:rsidRDefault="00BC4900" w:rsidP="00BC4900">
      <w:pPr>
        <w:pStyle w:val="TOC2"/>
        <w:rPr>
          <w:rFonts w:cs="Times New Roman"/>
        </w:rPr>
      </w:pPr>
      <w:r>
        <w:rPr>
          <w:rFonts w:cs="Times New Roman"/>
          <w:caps/>
        </w:rPr>
        <w:t>2.1</w:t>
      </w:r>
      <w:r>
        <w:rPr>
          <w:rFonts w:cs="Times New Roman"/>
          <w:sz w:val="24"/>
          <w:szCs w:val="24"/>
        </w:rPr>
        <w:t xml:space="preserve"> </w:t>
      </w:r>
      <w:r>
        <w:rPr>
          <w:rFonts w:cs="Times New Roman"/>
          <w:caps/>
        </w:rPr>
        <w:t>Attributes of Belmont Uplands and Alewife Reservation</w:t>
      </w:r>
      <w:proofErr w:type="gramStart"/>
      <w:r>
        <w:rPr>
          <w:rFonts w:cs="Times New Roman"/>
          <w:caps/>
        </w:rPr>
        <w:t>.......</w:t>
      </w:r>
      <w:proofErr w:type="gramEnd"/>
      <w:r>
        <w:rPr>
          <w:rFonts w:cs="Times New Roman"/>
          <w:caps/>
        </w:rPr>
        <w:t xml:space="preserve"> 1</w:t>
      </w:r>
    </w:p>
    <w:p w:rsidR="00BC4900" w:rsidRDefault="00BC4900" w:rsidP="00BC4900">
      <w:pPr>
        <w:pStyle w:val="TOC2"/>
        <w:rPr>
          <w:rFonts w:cs="Times New Roman"/>
        </w:rPr>
      </w:pPr>
      <w:r>
        <w:rPr>
          <w:rFonts w:cs="Times New Roman"/>
          <w:caps/>
        </w:rPr>
        <w:t>2.2</w:t>
      </w:r>
      <w:r>
        <w:rPr>
          <w:rFonts w:cs="Times New Roman"/>
          <w:sz w:val="24"/>
          <w:szCs w:val="24"/>
        </w:rPr>
        <w:t xml:space="preserve"> </w:t>
      </w:r>
      <w:r>
        <w:rPr>
          <w:rFonts w:cs="Times New Roman"/>
          <w:caps/>
        </w:rPr>
        <w:t>The Belmont Uplands as Human Habitat........................................... 2</w:t>
      </w:r>
    </w:p>
    <w:p w:rsidR="00BC4900" w:rsidRDefault="00BC4900" w:rsidP="00BC4900">
      <w:pPr>
        <w:pStyle w:val="TOC2"/>
        <w:rPr>
          <w:rFonts w:cs="Times New Roman"/>
        </w:rPr>
      </w:pPr>
      <w:r>
        <w:rPr>
          <w:rFonts w:cs="Times New Roman"/>
          <w:caps/>
        </w:rPr>
        <w:t>2.3</w:t>
      </w:r>
      <w:r>
        <w:rPr>
          <w:rFonts w:cs="Times New Roman"/>
          <w:sz w:val="24"/>
          <w:szCs w:val="24"/>
        </w:rPr>
        <w:t xml:space="preserve"> </w:t>
      </w:r>
      <w:r>
        <w:rPr>
          <w:rFonts w:cs="Times New Roman"/>
          <w:caps/>
        </w:rPr>
        <w:t>The Belmont Uplands Development Proposal................................ 3</w:t>
      </w:r>
    </w:p>
    <w:p w:rsidR="00BC4900" w:rsidRDefault="00BC4900" w:rsidP="00BC4900">
      <w:pPr>
        <w:pStyle w:val="TOC1"/>
        <w:rPr>
          <w:rFonts w:cs="Times New Roman"/>
        </w:rPr>
      </w:pPr>
      <w:r>
        <w:rPr>
          <w:rFonts w:cs="Times New Roman"/>
        </w:rPr>
        <w:t>3.0</w:t>
      </w:r>
      <w:r>
        <w:rPr>
          <w:rFonts w:cs="Times New Roman"/>
          <w:sz w:val="24"/>
          <w:szCs w:val="24"/>
        </w:rPr>
        <w:t xml:space="preserve"> </w:t>
      </w:r>
      <w:r>
        <w:rPr>
          <w:rFonts w:cs="Times New Roman"/>
        </w:rPr>
        <w:t>Summary................................................................................................................... 7</w:t>
      </w:r>
    </w:p>
    <w:p w:rsidR="00BC4900" w:rsidRDefault="00BC4900" w:rsidP="00BC4900">
      <w:pPr>
        <w:pStyle w:val="TOC1"/>
        <w:rPr>
          <w:rFonts w:cs="Times New Roman"/>
        </w:rPr>
      </w:pPr>
      <w:r>
        <w:rPr>
          <w:rFonts w:cs="Times New Roman"/>
        </w:rPr>
        <w:t>4.0</w:t>
      </w:r>
      <w:r>
        <w:rPr>
          <w:rFonts w:cs="Times New Roman"/>
          <w:sz w:val="24"/>
          <w:szCs w:val="24"/>
        </w:rPr>
        <w:t xml:space="preserve"> </w:t>
      </w:r>
      <w:r>
        <w:rPr>
          <w:rFonts w:cs="Times New Roman"/>
        </w:rPr>
        <w:t>References Cited and Reviewed (incomplete as of 7 Feb. 2006). 10</w:t>
      </w:r>
    </w:p>
    <w:p w:rsidR="00BC4900" w:rsidRDefault="00BC4900" w:rsidP="00BC4900">
      <w:pPr>
        <w:spacing w:before="100" w:beforeAutospacing="1" w:after="100" w:afterAutospacing="1"/>
        <w:rPr>
          <w:rFonts w:cs="Times New Roman"/>
        </w:rPr>
      </w:pPr>
      <w:r>
        <w:rPr>
          <w:rFonts w:cs="Times New Roman"/>
        </w:rPr>
        <w:t> </w:t>
      </w:r>
    </w:p>
    <w:p w:rsidR="00BC4900" w:rsidRDefault="00BC4900" w:rsidP="00BC4900">
      <w:pPr>
        <w:pStyle w:val="appendix"/>
        <w:spacing w:before="0" w:beforeAutospacing="0" w:after="0" w:afterAutospacing="0"/>
        <w:rPr>
          <w:rFonts w:cs="Times New Roman"/>
        </w:rPr>
      </w:pPr>
      <w:r>
        <w:rPr>
          <w:rFonts w:cs="Times New Roman"/>
        </w:rPr>
        <w:lastRenderedPageBreak/>
        <w:t>List of Figures</w:t>
      </w:r>
    </w:p>
    <w:p w:rsidR="00BC4900" w:rsidRDefault="00BC4900" w:rsidP="00BC4900">
      <w:pPr>
        <w:spacing w:before="100" w:beforeAutospacing="1" w:after="100" w:afterAutospacing="1"/>
        <w:rPr>
          <w:rFonts w:cs="Times New Roman"/>
        </w:rPr>
      </w:pPr>
      <w:r>
        <w:rPr>
          <w:rFonts w:cs="Times New Roman"/>
          <w:sz w:val="28"/>
          <w:szCs w:val="28"/>
        </w:rPr>
        <w:t> </w:t>
      </w:r>
    </w:p>
    <w:p w:rsidR="00BC4900" w:rsidRDefault="00BC4900" w:rsidP="00BC4900">
      <w:pPr>
        <w:spacing w:before="100" w:beforeAutospacing="1" w:after="100" w:afterAutospacing="1"/>
        <w:jc w:val="right"/>
        <w:rPr>
          <w:rFonts w:cs="Times New Roman"/>
        </w:rPr>
      </w:pPr>
      <w:r>
        <w:rPr>
          <w:rFonts w:cs="Times New Roman"/>
          <w:b/>
          <w:bCs/>
        </w:rPr>
        <w:t>Page</w:t>
      </w:r>
    </w:p>
    <w:p w:rsidR="00BC4900" w:rsidRDefault="00BC4900" w:rsidP="00BC4900">
      <w:pPr>
        <w:spacing w:before="100" w:beforeAutospacing="1" w:after="100" w:afterAutospacing="1"/>
        <w:jc w:val="right"/>
        <w:rPr>
          <w:rFonts w:cs="Times New Roman"/>
        </w:rPr>
      </w:pPr>
      <w:r>
        <w:rPr>
          <w:rFonts w:cs="Times New Roman"/>
          <w:b/>
          <w:bCs/>
        </w:rPr>
        <w:t> </w:t>
      </w:r>
    </w:p>
    <w:p w:rsidR="00BC4900" w:rsidRDefault="00BC4900" w:rsidP="00BC4900">
      <w:pPr>
        <w:pStyle w:val="TableofFigures"/>
        <w:rPr>
          <w:rFonts w:cs="Times New Roman"/>
        </w:rPr>
      </w:pPr>
      <w:r>
        <w:rPr>
          <w:rFonts w:cs="Times New Roman"/>
        </w:rPr>
        <w:t>Figure 1</w:t>
      </w:r>
      <w:proofErr w:type="gramStart"/>
      <w:r>
        <w:rPr>
          <w:rFonts w:cs="Times New Roman"/>
        </w:rPr>
        <w:t>.</w:t>
      </w:r>
      <w:r>
        <w:rPr>
          <w:rFonts w:cs="Times New Roman"/>
          <w:sz w:val="24"/>
          <w:szCs w:val="24"/>
        </w:rPr>
        <w:t>.......</w:t>
      </w:r>
      <w:proofErr w:type="gramEnd"/>
      <w:r>
        <w:rPr>
          <w:rFonts w:cs="Times New Roman"/>
          <w:sz w:val="24"/>
          <w:szCs w:val="24"/>
        </w:rPr>
        <w:t xml:space="preserve"> </w:t>
      </w:r>
      <w:proofErr w:type="gramStart"/>
      <w:r>
        <w:rPr>
          <w:rFonts w:cs="Times New Roman"/>
        </w:rPr>
        <w:t>Size, spacing, orientation and shape of habitat fragments relative to probability of species survival.</w:t>
      </w:r>
      <w:proofErr w:type="gramEnd"/>
      <w:r>
        <w:rPr>
          <w:rFonts w:cs="Times New Roman"/>
        </w:rPr>
        <w:t xml:space="preserve"> After </w:t>
      </w:r>
      <w:proofErr w:type="spellStart"/>
      <w:r>
        <w:rPr>
          <w:rFonts w:cs="Times New Roman"/>
        </w:rPr>
        <w:t>Faaborg</w:t>
      </w:r>
      <w:proofErr w:type="spellEnd"/>
      <w:r>
        <w:rPr>
          <w:rFonts w:cs="Times New Roman"/>
        </w:rPr>
        <w:t xml:space="preserve"> et al. (1995) after Diamond (1975)............................................................... 5</w:t>
      </w:r>
    </w:p>
    <w:p w:rsidR="00BC4900" w:rsidRDefault="00BC4900" w:rsidP="00BC4900">
      <w:pPr>
        <w:pStyle w:val="TableofFigures"/>
        <w:rPr>
          <w:rFonts w:cs="Times New Roman"/>
        </w:rPr>
      </w:pPr>
      <w:r>
        <w:rPr>
          <w:rFonts w:cs="Times New Roman"/>
        </w:rPr>
        <w:t>Figure 2</w:t>
      </w:r>
      <w:proofErr w:type="gramStart"/>
      <w:r>
        <w:rPr>
          <w:rFonts w:cs="Times New Roman"/>
        </w:rPr>
        <w:t>.</w:t>
      </w:r>
      <w:r>
        <w:rPr>
          <w:rFonts w:cs="Times New Roman"/>
          <w:sz w:val="24"/>
          <w:szCs w:val="24"/>
        </w:rPr>
        <w:t>.......</w:t>
      </w:r>
      <w:proofErr w:type="gramEnd"/>
      <w:r>
        <w:rPr>
          <w:rFonts w:cs="Times New Roman"/>
          <w:sz w:val="24"/>
          <w:szCs w:val="24"/>
        </w:rPr>
        <w:t xml:space="preserve"> </w:t>
      </w:r>
      <w:r>
        <w:rPr>
          <w:rFonts w:cs="Times New Roman"/>
        </w:rPr>
        <w:t xml:space="preserve">Proposed development area (arrow), Belmont Uplands site. Approximate boundary from Epsilon Associates, Inc. (14 Oct. 2003), Conceptual Conservation Restriction Plan. Base Map: 2001 Massachusetts GIS </w:t>
      </w:r>
      <w:proofErr w:type="spellStart"/>
      <w:r>
        <w:rPr>
          <w:rFonts w:cs="Times New Roman"/>
        </w:rPr>
        <w:t>Orthophotos</w:t>
      </w:r>
      <w:proofErr w:type="spellEnd"/>
      <w:r>
        <w:rPr>
          <w:rFonts w:cs="Times New Roman"/>
        </w:rPr>
        <w:t>............................................................................... 6</w:t>
      </w:r>
    </w:p>
    <w:p w:rsidR="00BC4900" w:rsidRDefault="00BC4900" w:rsidP="00BC4900">
      <w:pPr>
        <w:pStyle w:val="TableofFigures"/>
        <w:rPr>
          <w:rFonts w:cs="Times New Roman"/>
        </w:rPr>
      </w:pPr>
      <w:r>
        <w:rPr>
          <w:rFonts w:cs="Times New Roman"/>
        </w:rPr>
        <w:t>Figure 3</w:t>
      </w:r>
      <w:proofErr w:type="gramStart"/>
      <w:r>
        <w:rPr>
          <w:rFonts w:cs="Times New Roman"/>
        </w:rPr>
        <w:t>.</w:t>
      </w:r>
      <w:r>
        <w:rPr>
          <w:rFonts w:cs="Times New Roman"/>
          <w:sz w:val="24"/>
          <w:szCs w:val="24"/>
        </w:rPr>
        <w:t>.......</w:t>
      </w:r>
      <w:proofErr w:type="gramEnd"/>
      <w:r>
        <w:rPr>
          <w:rFonts w:cs="Times New Roman"/>
          <w:sz w:val="24"/>
          <w:szCs w:val="24"/>
        </w:rPr>
        <w:t xml:space="preserve"> </w:t>
      </w:r>
      <w:proofErr w:type="gramStart"/>
      <w:r>
        <w:rPr>
          <w:rFonts w:cs="Times New Roman"/>
        </w:rPr>
        <w:t>Core area (shaded) for interior-habitat species at Alewife Reservation without Belmont Uplands development (top) and with development (bottom).</w:t>
      </w:r>
      <w:proofErr w:type="gramEnd"/>
      <w:r>
        <w:rPr>
          <w:rFonts w:cs="Times New Roman"/>
        </w:rPr>
        <w:t xml:space="preserve"> Setback from </w:t>
      </w:r>
      <w:proofErr w:type="spellStart"/>
      <w:r>
        <w:rPr>
          <w:rFonts w:cs="Times New Roman"/>
        </w:rPr>
        <w:t>unvegetated</w:t>
      </w:r>
      <w:proofErr w:type="spellEnd"/>
      <w:r>
        <w:rPr>
          <w:rFonts w:cs="Times New Roman"/>
        </w:rPr>
        <w:t xml:space="preserve"> edge ~ 100 m 8</w:t>
      </w:r>
    </w:p>
    <w:p w:rsidR="00BC4900" w:rsidRDefault="00BC4900" w:rsidP="00BC4900">
      <w:pPr>
        <w:pStyle w:val="TableofFigures"/>
        <w:rPr>
          <w:rFonts w:cs="Times New Roman"/>
        </w:rPr>
      </w:pPr>
      <w:r>
        <w:rPr>
          <w:rFonts w:cs="Times New Roman"/>
        </w:rPr>
        <w:t>Figure 4</w:t>
      </w:r>
      <w:proofErr w:type="gramStart"/>
      <w:r>
        <w:rPr>
          <w:rFonts w:cs="Times New Roman"/>
        </w:rPr>
        <w:t>.</w:t>
      </w:r>
      <w:r>
        <w:rPr>
          <w:rFonts w:cs="Times New Roman"/>
          <w:sz w:val="24"/>
          <w:szCs w:val="24"/>
        </w:rPr>
        <w:t>.......</w:t>
      </w:r>
      <w:proofErr w:type="gramEnd"/>
      <w:r>
        <w:rPr>
          <w:rFonts w:cs="Times New Roman"/>
          <w:sz w:val="24"/>
          <w:szCs w:val="24"/>
        </w:rPr>
        <w:t xml:space="preserve"> </w:t>
      </w:r>
      <w:r>
        <w:rPr>
          <w:rFonts w:cs="Times New Roman"/>
        </w:rPr>
        <w:t xml:space="preserve">Recommended terrestrial management area around a vernal pool. Illustration from Calhoun and </w:t>
      </w:r>
      <w:proofErr w:type="spellStart"/>
      <w:r>
        <w:rPr>
          <w:rFonts w:cs="Times New Roman"/>
        </w:rPr>
        <w:t>Klemens</w:t>
      </w:r>
      <w:proofErr w:type="spellEnd"/>
      <w:r>
        <w:rPr>
          <w:rFonts w:cs="Times New Roman"/>
        </w:rPr>
        <w:t xml:space="preserve"> (2002)....................................................................................................... 9</w:t>
      </w:r>
    </w:p>
    <w:p w:rsidR="00BC4900" w:rsidRDefault="00BC4900" w:rsidP="00BC4900">
      <w:pPr>
        <w:pStyle w:val="TableofFigures"/>
        <w:rPr>
          <w:rFonts w:cs="Times New Roman"/>
        </w:rPr>
      </w:pPr>
      <w:r>
        <w:rPr>
          <w:rFonts w:cs="Times New Roman"/>
        </w:rPr>
        <w:t>Figure 5</w:t>
      </w:r>
      <w:proofErr w:type="gramStart"/>
      <w:r>
        <w:rPr>
          <w:rFonts w:cs="Times New Roman"/>
        </w:rPr>
        <w:t>.</w:t>
      </w:r>
      <w:r>
        <w:rPr>
          <w:rFonts w:cs="Times New Roman"/>
          <w:sz w:val="24"/>
          <w:szCs w:val="24"/>
        </w:rPr>
        <w:t>.......</w:t>
      </w:r>
      <w:proofErr w:type="gramEnd"/>
      <w:r>
        <w:rPr>
          <w:rFonts w:cs="Times New Roman"/>
          <w:sz w:val="24"/>
          <w:szCs w:val="24"/>
        </w:rPr>
        <w:t xml:space="preserve"> </w:t>
      </w:r>
      <w:proofErr w:type="gramStart"/>
      <w:r>
        <w:rPr>
          <w:rFonts w:cs="Times New Roman"/>
        </w:rPr>
        <w:t>Relationship to the proposed Belmont Uplands development of two reported vernal pools and their respective 750-foot-diameter terrestrial management areas.</w:t>
      </w:r>
      <w:proofErr w:type="gramEnd"/>
      <w:r>
        <w:rPr>
          <w:rFonts w:cs="Times New Roman"/>
        </w:rPr>
        <w:t xml:space="preserve"> Darkened circles indicate approximate area of State jurisdictional protective buffer zone to be observed around vernal pools </w:t>
      </w:r>
    </w:p>
    <w:p w:rsidR="00BC4900" w:rsidRDefault="00BC4900" w:rsidP="00BC4900">
      <w:pPr>
        <w:spacing w:before="100" w:beforeAutospacing="1" w:after="100" w:afterAutospacing="1"/>
        <w:rPr>
          <w:rFonts w:cs="Times New Roman"/>
        </w:rPr>
      </w:pPr>
      <w:r>
        <w:rPr>
          <w:rFonts w:cs="Times New Roman"/>
        </w:rPr>
        <w:t> </w:t>
      </w:r>
    </w:p>
    <w:p w:rsidR="00BC4900" w:rsidRDefault="00BC4900" w:rsidP="00BC4900">
      <w:pPr>
        <w:spacing w:before="100" w:beforeAutospacing="1" w:after="100" w:afterAutospacing="1"/>
        <w:rPr>
          <w:rFonts w:cs="Times New Roman"/>
        </w:rPr>
      </w:pPr>
      <w:r>
        <w:rPr>
          <w:rFonts w:cs="Times New Roman"/>
        </w:rPr>
        <w:t> </w:t>
      </w:r>
    </w:p>
    <w:p w:rsidR="00BC4900" w:rsidRPr="00BC4900" w:rsidRDefault="00BC4900" w:rsidP="00BC4900">
      <w:pPr>
        <w:spacing w:before="100" w:beforeAutospacing="1" w:after="100" w:afterAutospacing="1"/>
        <w:rPr>
          <w:rFonts w:cs="Times New Roman"/>
        </w:rPr>
      </w:pPr>
      <w:bookmarkStart w:id="1" w:name="_Toc127080948"/>
      <w:r>
        <w:rPr>
          <w:rFonts w:eastAsia="Times New Roman" w:cs="Times New Roman"/>
          <w:caps/>
          <w:lang w:val="en-CA"/>
        </w:rPr>
        <w:t>1.0 Introduction</w:t>
      </w:r>
      <w:bookmarkEnd w:id="1"/>
    </w:p>
    <w:p w:rsidR="00BC4900" w:rsidRDefault="00BC4900" w:rsidP="00BC4900">
      <w:pPr>
        <w:pStyle w:val="BodyText"/>
        <w:rPr>
          <w:rFonts w:cs="Times New Roman"/>
        </w:rPr>
      </w:pPr>
      <w:r>
        <w:rPr>
          <w:rFonts w:cs="Times New Roman"/>
        </w:rPr>
        <w:t>This report comes at the request of residents of Belmont and Cambridge for study and reference by the Belmont Conservation Commission and other groups such as the Friends of the Alewife Reservation (FAR), to provide a summary review of findings to date and an analysis of ecological impacts to be anticipated from proposed development of the O’Neill Properties tract commonly known as the Belmont Uplands. This report expands on ecological principles and opinions previously expressed in a letter to the City of Cambridge (Fairbairn 2003), and pays specific attention to the current development proposal for a high-density residential development on the Belmont Uplands (AP Cambridge Partners II 2005).</w:t>
      </w:r>
    </w:p>
    <w:p w:rsidR="00BC4900" w:rsidRDefault="00BC4900" w:rsidP="00BC4900">
      <w:pPr>
        <w:pStyle w:val="Heading1"/>
        <w:rPr>
          <w:rFonts w:eastAsia="Times New Roman" w:cs="Times New Roman"/>
        </w:rPr>
      </w:pPr>
      <w:bookmarkStart w:id="2" w:name="_Toc127080949"/>
      <w:r>
        <w:rPr>
          <w:rFonts w:eastAsia="Times New Roman" w:cs="Times New Roman"/>
          <w:caps/>
          <w:lang w:val="en-CA"/>
        </w:rPr>
        <w:t>2.0 Principal Findings</w:t>
      </w:r>
      <w:bookmarkEnd w:id="2"/>
    </w:p>
    <w:p w:rsidR="00BC4900" w:rsidRDefault="00BC4900" w:rsidP="00BC4900">
      <w:pPr>
        <w:pStyle w:val="Heading2"/>
        <w:rPr>
          <w:rFonts w:eastAsia="Times New Roman" w:cs="Times New Roman"/>
        </w:rPr>
      </w:pPr>
      <w:bookmarkStart w:id="3" w:name="_Toc127080950"/>
      <w:r>
        <w:rPr>
          <w:rFonts w:eastAsia="Times New Roman" w:cs="Times New Roman"/>
          <w:caps/>
        </w:rPr>
        <w:t>2.1 Attributes of Belmont Uplands and Alewife Reservation</w:t>
      </w:r>
      <w:bookmarkEnd w:id="3"/>
    </w:p>
    <w:p w:rsidR="00BC4900" w:rsidRDefault="00BC4900" w:rsidP="00BC4900">
      <w:pPr>
        <w:pStyle w:val="BodyText"/>
        <w:rPr>
          <w:rFonts w:cs="Times New Roman"/>
        </w:rPr>
      </w:pPr>
      <w:r>
        <w:rPr>
          <w:rFonts w:cs="Times New Roman"/>
          <w:b/>
          <w:bCs/>
          <w:i/>
          <w:iCs/>
        </w:rPr>
        <w:t>Amenity.</w:t>
      </w:r>
      <w:r>
        <w:rPr>
          <w:rFonts w:cs="Times New Roman"/>
        </w:rPr>
        <w:t xml:space="preserve"> As a preface to the following site-specific discussion, it should be noted that properly managed open space provides perceived benefits (e.g. beauty, tranquility, room to exercise, microclimate control, biodiversity) that taken together can be assigned a rough monetary value. For example, the National Park Service (1995) has documented the economic value to real estate adjoining open space. In a study of four parks in Worcester, Massachusetts, a house 20 feet from a park sold for an average $2,675 (1982 dollars) more than a similar house 2,000 feet away. In Amherst and Concord, Massachusetts, cluster-zone housing set in permanently protected open space appreciated at a higher rate than houses in conventional subdivisions. Proximity to an arboretum in Dayton, Ohio accounted for an estimated 5% of average selling price. In Columbus, Ohio, proximity to a park and river accounted for 7.35% of the selling price. The perceived value of the open space appeared to be positively correlated with natural landscape rather than highly developed facilities</w:t>
      </w:r>
      <w:proofErr w:type="gramStart"/>
      <w:r>
        <w:rPr>
          <w:rFonts w:cs="Times New Roman"/>
        </w:rPr>
        <w:t>;</w:t>
      </w:r>
      <w:proofErr w:type="gramEnd"/>
      <w:r>
        <w:rPr>
          <w:rFonts w:cs="Times New Roman"/>
        </w:rPr>
        <w:t xml:space="preserve"> with low-intensity recreation and limited vehicular access, and effective maintenance and security. After a neighborhood in Boulder, Colorado bought a greenbelt, adjoining property values </w:t>
      </w:r>
      <w:proofErr w:type="gramStart"/>
      <w:r>
        <w:rPr>
          <w:rFonts w:cs="Times New Roman"/>
        </w:rPr>
        <w:t>rose</w:t>
      </w:r>
      <w:proofErr w:type="gramEnd"/>
      <w:r>
        <w:rPr>
          <w:rFonts w:cs="Times New Roman"/>
        </w:rPr>
        <w:t xml:space="preserve"> so high that the extra tax that could have been collected, based on improved market value, would have paid for the purchase in three years. These sound like arguments for cultivating the open-space amenity rather than diminishing it.</w:t>
      </w:r>
    </w:p>
    <w:p w:rsidR="00BC4900" w:rsidRDefault="00BC4900" w:rsidP="00BC4900">
      <w:pPr>
        <w:pStyle w:val="BodyText"/>
        <w:rPr>
          <w:rFonts w:cs="Times New Roman"/>
        </w:rPr>
      </w:pPr>
      <w:r>
        <w:rPr>
          <w:rFonts w:cs="Times New Roman"/>
          <w:b/>
          <w:bCs/>
          <w:i/>
          <w:iCs/>
        </w:rPr>
        <w:t xml:space="preserve">Uniqueness </w:t>
      </w:r>
      <w:r>
        <w:rPr>
          <w:rFonts w:cs="Times New Roman"/>
        </w:rPr>
        <w:t>As the major upland component of an unmanaged stand of forested upland and wetland, the Belmont Uplands represent an important part of a minute open-space type in Greater Boston (</w:t>
      </w:r>
      <w:proofErr w:type="spellStart"/>
      <w:r>
        <w:rPr>
          <w:rFonts w:cs="Times New Roman"/>
        </w:rPr>
        <w:t>Katuska</w:t>
      </w:r>
      <w:proofErr w:type="spellEnd"/>
      <w:r>
        <w:rPr>
          <w:rFonts w:cs="Times New Roman"/>
        </w:rPr>
        <w:t xml:space="preserve"> 2003). The entire Alewife Reservation shows on the </w:t>
      </w:r>
      <w:proofErr w:type="spellStart"/>
      <w:r>
        <w:rPr>
          <w:rFonts w:cs="Times New Roman"/>
        </w:rPr>
        <w:t>Biomap</w:t>
      </w:r>
      <w:proofErr w:type="spellEnd"/>
      <w:r>
        <w:rPr>
          <w:rFonts w:cs="Times New Roman"/>
        </w:rPr>
        <w:t xml:space="preserve"> of the Boston Basin </w:t>
      </w:r>
      <w:proofErr w:type="spellStart"/>
      <w:r>
        <w:rPr>
          <w:rFonts w:cs="Times New Roman"/>
        </w:rPr>
        <w:t>Ecoregion</w:t>
      </w:r>
      <w:proofErr w:type="spellEnd"/>
      <w:r>
        <w:rPr>
          <w:rFonts w:cs="Times New Roman"/>
        </w:rPr>
        <w:t xml:space="preserve"> as a fine sliver of green threading the matrix of developed land surrounding it (NHESP 2001). The Belmont Uplands portion of this rare forest enhances the uniqueness by virtue of stand species composition, which consists of monotypic Silver Maple (</w:t>
      </w:r>
      <w:r>
        <w:rPr>
          <w:rFonts w:cs="Times New Roman"/>
          <w:i/>
          <w:iCs/>
        </w:rPr>
        <w:t xml:space="preserve">Acer </w:t>
      </w:r>
      <w:proofErr w:type="spellStart"/>
      <w:r>
        <w:rPr>
          <w:rFonts w:cs="Times New Roman"/>
          <w:i/>
          <w:iCs/>
        </w:rPr>
        <w:t>saccharinum</w:t>
      </w:r>
      <w:proofErr w:type="spellEnd"/>
      <w:r>
        <w:rPr>
          <w:rFonts w:cs="Times New Roman"/>
        </w:rPr>
        <w:t>), an unusual species to occur so densely outside its typical annual floodplain habitat. Vigorous regeneration of young Silver Maple indicates the likelihood of its persistence as a stand dominant for at least another century.</w:t>
      </w:r>
    </w:p>
    <w:p w:rsidR="00BC4900" w:rsidRDefault="00BC4900" w:rsidP="00BC4900">
      <w:pPr>
        <w:pStyle w:val="BodyText"/>
        <w:rPr>
          <w:rFonts w:cs="Times New Roman"/>
        </w:rPr>
      </w:pPr>
      <w:proofErr w:type="spellStart"/>
      <w:proofErr w:type="gramStart"/>
      <w:r>
        <w:rPr>
          <w:rFonts w:cs="Times New Roman"/>
          <w:b/>
          <w:bCs/>
          <w:i/>
          <w:iCs/>
        </w:rPr>
        <w:t>Stormwater</w:t>
      </w:r>
      <w:proofErr w:type="spellEnd"/>
      <w:r>
        <w:rPr>
          <w:rFonts w:cs="Times New Roman"/>
          <w:b/>
          <w:bCs/>
          <w:i/>
          <w:iCs/>
        </w:rPr>
        <w:t xml:space="preserve"> detention and retention.</w:t>
      </w:r>
      <w:proofErr w:type="gramEnd"/>
      <w:r>
        <w:rPr>
          <w:rFonts w:cs="Times New Roman"/>
          <w:b/>
          <w:bCs/>
          <w:i/>
          <w:iCs/>
        </w:rPr>
        <w:t xml:space="preserve"> </w:t>
      </w:r>
      <w:r>
        <w:rPr>
          <w:rFonts w:cs="Times New Roman"/>
        </w:rPr>
        <w:t>Among the social benefits this forest provides (</w:t>
      </w:r>
      <w:proofErr w:type="spellStart"/>
      <w:r>
        <w:rPr>
          <w:rFonts w:cs="Times New Roman"/>
        </w:rPr>
        <w:t>Katuska</w:t>
      </w:r>
      <w:proofErr w:type="spellEnd"/>
      <w:r>
        <w:rPr>
          <w:rFonts w:cs="Times New Roman"/>
        </w:rPr>
        <w:t xml:space="preserve"> 2003, 2004), the control of </w:t>
      </w:r>
      <w:proofErr w:type="spellStart"/>
      <w:r>
        <w:rPr>
          <w:rFonts w:cs="Times New Roman"/>
        </w:rPr>
        <w:t>stormwater</w:t>
      </w:r>
      <w:proofErr w:type="spellEnd"/>
      <w:r>
        <w:rPr>
          <w:rFonts w:cs="Times New Roman"/>
        </w:rPr>
        <w:t xml:space="preserve"> runoff ranks high because of the surrounding area’s vulnerability to flooding and sewerage overload (Mystic River Watershed Association 2002).</w:t>
      </w:r>
    </w:p>
    <w:p w:rsidR="00BC4900" w:rsidRDefault="00BC4900" w:rsidP="00BC4900">
      <w:pPr>
        <w:pStyle w:val="BodyText"/>
        <w:rPr>
          <w:rFonts w:cs="Times New Roman"/>
        </w:rPr>
      </w:pPr>
      <w:proofErr w:type="gramStart"/>
      <w:r>
        <w:rPr>
          <w:rFonts w:cs="Times New Roman"/>
          <w:b/>
          <w:bCs/>
          <w:i/>
          <w:iCs/>
        </w:rPr>
        <w:t>Water pollution amelioration.</w:t>
      </w:r>
      <w:proofErr w:type="gramEnd"/>
      <w:r>
        <w:rPr>
          <w:rFonts w:cs="Times New Roman"/>
        </w:rPr>
        <w:t xml:space="preserve"> Another of the free public benefits provided by the forest and associated plant communities, this function, which promotes biochemical as well as physical interactions, follows naturally from the physical effects of detention and retention described by </w:t>
      </w:r>
      <w:proofErr w:type="spellStart"/>
      <w:r>
        <w:rPr>
          <w:rFonts w:cs="Times New Roman"/>
        </w:rPr>
        <w:t>Katuska</w:t>
      </w:r>
      <w:proofErr w:type="spellEnd"/>
      <w:r>
        <w:rPr>
          <w:rFonts w:cs="Times New Roman"/>
        </w:rPr>
        <w:t xml:space="preserve"> (2003).</w:t>
      </w:r>
    </w:p>
    <w:p w:rsidR="00BC4900" w:rsidRDefault="00BC4900" w:rsidP="00BC4900">
      <w:pPr>
        <w:pStyle w:val="BodyText"/>
        <w:rPr>
          <w:rFonts w:cs="Times New Roman"/>
        </w:rPr>
      </w:pPr>
      <w:r>
        <w:rPr>
          <w:rFonts w:cs="Times New Roman"/>
          <w:b/>
          <w:bCs/>
          <w:i/>
          <w:iCs/>
        </w:rPr>
        <w:t>Dispersal and migration support.</w:t>
      </w:r>
      <w:r>
        <w:rPr>
          <w:rFonts w:cs="Times New Roman"/>
        </w:rPr>
        <w:t xml:space="preserve"> By way of the Little River and its flanking riparian zone, many aquatic and terrestrial animals come and go in the Reservation. To some, it may be an annual endpoint (e.g. the shad and herring) or </w:t>
      </w:r>
      <w:proofErr w:type="gramStart"/>
      <w:r>
        <w:rPr>
          <w:rFonts w:cs="Times New Roman"/>
        </w:rPr>
        <w:t>way-station</w:t>
      </w:r>
      <w:proofErr w:type="gramEnd"/>
      <w:r>
        <w:rPr>
          <w:rFonts w:cs="Times New Roman"/>
        </w:rPr>
        <w:t xml:space="preserve"> (e.g. migratory birds), to others an occasional refuge (e.g. deer,). The connectivity of Little River with Alewife Brook downstream facilitates access to the Reservation by mammals that would otherwise be absent from this densely populated human environment (e.g. River Otter, Mink, Beaver). </w:t>
      </w:r>
    </w:p>
    <w:p w:rsidR="00BC4900" w:rsidRDefault="00BC4900" w:rsidP="00BC4900">
      <w:pPr>
        <w:pStyle w:val="BodyText"/>
        <w:rPr>
          <w:rFonts w:cs="Times New Roman"/>
        </w:rPr>
      </w:pPr>
      <w:r>
        <w:rPr>
          <w:rFonts w:cs="Times New Roman"/>
          <w:b/>
          <w:bCs/>
          <w:i/>
          <w:iCs/>
        </w:rPr>
        <w:t>Representativeness.</w:t>
      </w:r>
      <w:r>
        <w:rPr>
          <w:rFonts w:cs="Times New Roman"/>
        </w:rPr>
        <w:t xml:space="preserve"> Although protected rarities occur (e.g. wintering Bald Eagle at Little Pond), the Reservation’s chief value to plant and animal life lies in the support it provides to a wide variety of relatively common species. Many of these have been well studied, notably mammals and birds (Sanders 1994, FAR 2004, and others). An area of little over 100 acres that has breeding records for over 45 bird species and reports of nearly 20 mammals owes much to its diversity of plant communities, not the least of which is the upland forest. Ten of the breeding bird species require nest cavities, which form more readily in Silver Maple than in many other trees (</w:t>
      </w:r>
      <w:proofErr w:type="spellStart"/>
      <w:r>
        <w:rPr>
          <w:rFonts w:cs="Times New Roman"/>
        </w:rPr>
        <w:t>Katuska</w:t>
      </w:r>
      <w:proofErr w:type="spellEnd"/>
      <w:r>
        <w:rPr>
          <w:rFonts w:cs="Times New Roman"/>
        </w:rPr>
        <w:t xml:space="preserve"> 2003). </w:t>
      </w:r>
    </w:p>
    <w:p w:rsidR="00BC4900" w:rsidRDefault="00BC4900" w:rsidP="00BC4900">
      <w:pPr>
        <w:pStyle w:val="Heading2"/>
        <w:rPr>
          <w:rFonts w:eastAsia="Times New Roman" w:cs="Times New Roman"/>
        </w:rPr>
      </w:pPr>
      <w:bookmarkStart w:id="4" w:name="_Toc127080951"/>
      <w:r>
        <w:rPr>
          <w:rFonts w:eastAsia="Times New Roman" w:cs="Times New Roman"/>
          <w:caps/>
        </w:rPr>
        <w:t>2.2 The Belmont Uplands as Human Habitat</w:t>
      </w:r>
      <w:bookmarkEnd w:id="4"/>
    </w:p>
    <w:p w:rsidR="00BC4900" w:rsidRDefault="00BC4900" w:rsidP="00BC4900">
      <w:pPr>
        <w:pStyle w:val="BodyText"/>
        <w:rPr>
          <w:rFonts w:cs="Times New Roman"/>
        </w:rPr>
      </w:pPr>
      <w:r>
        <w:rPr>
          <w:rFonts w:cs="Times New Roman"/>
        </w:rPr>
        <w:t>Whether an area’s desired use is wilderness or shopping mall, it serves the interest of our own species’ complex wants and needs. As part of an ever-dwindling urban open space, the Belmont Uplands tract has become increasingly the object of intense intraspecific (human) competition. A 14-year review by the National Park Service ranked residential or commercial development as the most common type of negative human influence on National Natural Landmarks, many of which are small biotic preserves (Shafer 1995) similar in scale to the Alewife Reservation. Recent statements of interest in the Reservation and its open-space environs include the following efforts, listed by primary purpose.</w:t>
      </w:r>
    </w:p>
    <w:p w:rsidR="00BC4900" w:rsidRDefault="00BC4900" w:rsidP="00BC4900">
      <w:pPr>
        <w:pStyle w:val="Heading4"/>
        <w:rPr>
          <w:rFonts w:eastAsia="Times New Roman" w:cs="Times New Roman"/>
        </w:rPr>
      </w:pPr>
      <w:r>
        <w:rPr>
          <w:rFonts w:eastAsia="Times New Roman" w:cs="Times New Roman"/>
        </w:rPr>
        <w:t>Recreational Development:</w:t>
      </w:r>
    </w:p>
    <w:p w:rsidR="00BC4900" w:rsidRDefault="00BC4900" w:rsidP="00BC4900">
      <w:pPr>
        <w:spacing w:after="80"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Blair Pond Master Plan (MDC 1999)</w:t>
      </w:r>
    </w:p>
    <w:p w:rsidR="00BC4900" w:rsidRDefault="00BC4900" w:rsidP="00BC4900">
      <w:pPr>
        <w:spacing w:after="240"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Alewife Reservation and Alewife Brook Master Plan (MDC 2003)</w:t>
      </w:r>
    </w:p>
    <w:p w:rsidR="00BC4900" w:rsidRDefault="00BC4900" w:rsidP="00BC4900">
      <w:pPr>
        <w:pStyle w:val="Heading4"/>
        <w:rPr>
          <w:rFonts w:eastAsia="Times New Roman" w:cs="Times New Roman"/>
        </w:rPr>
      </w:pPr>
      <w:r>
        <w:rPr>
          <w:rFonts w:eastAsia="Times New Roman" w:cs="Times New Roman"/>
        </w:rPr>
        <w:t xml:space="preserve">Preservation and Education: </w:t>
      </w:r>
    </w:p>
    <w:p w:rsidR="00BC4900" w:rsidRDefault="00BC4900" w:rsidP="00BC4900">
      <w:pPr>
        <w:spacing w:after="240"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Friends of Alewife Reservation activities and publications</w:t>
      </w:r>
    </w:p>
    <w:p w:rsidR="00BC4900" w:rsidRDefault="00BC4900" w:rsidP="00BC4900">
      <w:pPr>
        <w:pStyle w:val="Heading4"/>
        <w:rPr>
          <w:rFonts w:eastAsia="Times New Roman" w:cs="Times New Roman"/>
        </w:rPr>
      </w:pPr>
      <w:r>
        <w:rPr>
          <w:rFonts w:eastAsia="Times New Roman" w:cs="Times New Roman"/>
        </w:rPr>
        <w:t xml:space="preserve">Restoration: </w:t>
      </w:r>
    </w:p>
    <w:p w:rsidR="00BC4900" w:rsidRDefault="00BC4900" w:rsidP="00BC4900">
      <w:pPr>
        <w:spacing w:after="80"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proofErr w:type="gramStart"/>
      <w:r>
        <w:rPr>
          <w:rFonts w:cs="Times New Roman"/>
        </w:rPr>
        <w:t>The</w:t>
      </w:r>
      <w:proofErr w:type="gramEnd"/>
      <w:r>
        <w:rPr>
          <w:rFonts w:cs="Times New Roman"/>
        </w:rPr>
        <w:t xml:space="preserve"> 10-acre Muskrat Marsh project currently under study by the Massachusetts Wetlands Restoration Program </w:t>
      </w:r>
    </w:p>
    <w:p w:rsidR="00BC4900" w:rsidRDefault="00BC4900" w:rsidP="00BC4900">
      <w:pPr>
        <w:spacing w:after="240"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The Combined Sewer Overflow (CSO) Separation project proposed by the Massachusetts Water Resources Authority and City of Cambridge for 3.5 acres south of Little River, aimed at effecting an 85% improvement in water quality and restoration of some 10 wetland acres.</w:t>
      </w:r>
    </w:p>
    <w:p w:rsidR="00BC4900" w:rsidRDefault="00BC4900" w:rsidP="00BC4900">
      <w:pPr>
        <w:pStyle w:val="Heading4"/>
        <w:rPr>
          <w:rFonts w:eastAsia="Times New Roman" w:cs="Times New Roman"/>
        </w:rPr>
      </w:pPr>
      <w:r>
        <w:rPr>
          <w:rFonts w:eastAsia="Times New Roman" w:cs="Times New Roman"/>
        </w:rPr>
        <w:t xml:space="preserve">Commercial and Residential Development: </w:t>
      </w:r>
    </w:p>
    <w:p w:rsidR="00BC4900" w:rsidRDefault="00BC4900" w:rsidP="00BC4900">
      <w:pPr>
        <w:spacing w:after="80"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 xml:space="preserve">Acorn Park office expansion (Discovery Park) on previously filled land </w:t>
      </w:r>
    </w:p>
    <w:p w:rsidR="00BC4900" w:rsidRDefault="00BC4900" w:rsidP="00BC4900">
      <w:pPr>
        <w:spacing w:after="240"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proofErr w:type="gramStart"/>
      <w:r>
        <w:rPr>
          <w:rFonts w:cs="Times New Roman"/>
        </w:rPr>
        <w:t>The</w:t>
      </w:r>
      <w:proofErr w:type="gramEnd"/>
      <w:r>
        <w:rPr>
          <w:rFonts w:cs="Times New Roman"/>
        </w:rPr>
        <w:t xml:space="preserve"> current proposal to build housing on about 8 acres of the Belmont Uplands forest (AP Cambridge Partners II 2005). </w:t>
      </w:r>
    </w:p>
    <w:p w:rsidR="00BC4900" w:rsidRDefault="00BC4900" w:rsidP="00BC4900">
      <w:pPr>
        <w:pStyle w:val="BodyText"/>
        <w:rPr>
          <w:rFonts w:cs="Times New Roman"/>
        </w:rPr>
      </w:pPr>
      <w:r>
        <w:rPr>
          <w:rFonts w:cs="Times New Roman"/>
        </w:rPr>
        <w:t xml:space="preserve">Both these projects include an open-space habitat restoration and enhancement component. Both differ from all the foregoing projects described by incurring a net loss of open space and privatization of the developed land use. The foregoing public-interest projects generally complement and enhance one another. </w:t>
      </w:r>
    </w:p>
    <w:p w:rsidR="00BC4900" w:rsidRDefault="00BC4900" w:rsidP="00BC4900">
      <w:pPr>
        <w:pStyle w:val="Heading2"/>
        <w:rPr>
          <w:rFonts w:eastAsia="Times New Roman" w:cs="Times New Roman"/>
        </w:rPr>
      </w:pPr>
      <w:bookmarkStart w:id="5" w:name="_Toc127080952"/>
      <w:r>
        <w:rPr>
          <w:rFonts w:eastAsia="Times New Roman" w:cs="Times New Roman"/>
          <w:caps/>
        </w:rPr>
        <w:t>2.3 The Belmont Uplands Development Proposal</w:t>
      </w:r>
      <w:bookmarkEnd w:id="5"/>
    </w:p>
    <w:p w:rsidR="00BC4900" w:rsidRDefault="00BC4900" w:rsidP="00BC4900">
      <w:pPr>
        <w:pStyle w:val="BodyText"/>
        <w:rPr>
          <w:rFonts w:cs="Times New Roman"/>
        </w:rPr>
      </w:pPr>
      <w:r>
        <w:rPr>
          <w:rFonts w:cs="Times New Roman"/>
        </w:rPr>
        <w:t xml:space="preserve">The applicant’s original proposal for a business workplace includes environmental data and plans (Epsilon Associates, Inc. 2003) that are generally relevant to the applicant’s superseding alternate proposal for a housing complex (AP Cambridge Partners II 2005). Throughout the material reviewed, the applicant demonstrates due observance of the regulations: provisions to contain and treat </w:t>
      </w:r>
      <w:proofErr w:type="spellStart"/>
      <w:r>
        <w:rPr>
          <w:rFonts w:cs="Times New Roman"/>
        </w:rPr>
        <w:t>stormwater</w:t>
      </w:r>
      <w:proofErr w:type="spellEnd"/>
      <w:r>
        <w:rPr>
          <w:rFonts w:cs="Times New Roman"/>
        </w:rPr>
        <w:t xml:space="preserve"> runoff on-site to the required standards, and to accommodate the required volume of flood water; limitation of direct impacts on wetland within permissible thresholds; due note of the absence of impacts on rare, threatened and endangered species; avoidance of known vernal pools and their buffer zones; mitigation of direct wetland impacts by enhancement of wetland habitat in two Conservation Restriction Areas and creation of an open space management plan (Epsilon Associates, Inc. 2002). Given the poverty of alternatives to discuss (No Build, plus on-site design variations), the important question, </w:t>
      </w:r>
      <w:proofErr w:type="gramStart"/>
      <w:r>
        <w:rPr>
          <w:rFonts w:cs="Times New Roman"/>
        </w:rPr>
        <w:t>Why</w:t>
      </w:r>
      <w:proofErr w:type="gramEnd"/>
      <w:r>
        <w:rPr>
          <w:rFonts w:cs="Times New Roman"/>
        </w:rPr>
        <w:t xml:space="preserve"> here in the first place? </w:t>
      </w:r>
      <w:proofErr w:type="gramStart"/>
      <w:r>
        <w:rPr>
          <w:rFonts w:cs="Times New Roman"/>
        </w:rPr>
        <w:t>never</w:t>
      </w:r>
      <w:proofErr w:type="gramEnd"/>
      <w:r>
        <w:rPr>
          <w:rFonts w:cs="Times New Roman"/>
        </w:rPr>
        <w:t xml:space="preserve"> arises. Given a Superseding Order of Conditions fraught with stipulations for vigilant maintenance long after the project has been built and perhaps changed hands, agreement to these terms in the safety of the present moment is easily bestowed. It is understandable, on the assumption of little or no human error ever after, for the applicant to presume no adverse impact from </w:t>
      </w:r>
      <w:proofErr w:type="spellStart"/>
      <w:r>
        <w:rPr>
          <w:rFonts w:cs="Times New Roman"/>
        </w:rPr>
        <w:t>stormwater</w:t>
      </w:r>
      <w:proofErr w:type="spellEnd"/>
      <w:r>
        <w:rPr>
          <w:rFonts w:cs="Times New Roman"/>
        </w:rPr>
        <w:t xml:space="preserve"> runoff and, in our own self-interest, for us all to wish the same. </w:t>
      </w:r>
    </w:p>
    <w:p w:rsidR="00BC4900" w:rsidRDefault="00BC4900" w:rsidP="00BC4900">
      <w:pPr>
        <w:pStyle w:val="BodyText"/>
        <w:rPr>
          <w:rFonts w:cs="Times New Roman"/>
        </w:rPr>
      </w:pPr>
      <w:r>
        <w:rPr>
          <w:rFonts w:cs="Times New Roman"/>
        </w:rPr>
        <w:t xml:space="preserve">The applicant is careful to state that project implementation, as approved by the DEP, would not impair “important wildlife habitat functions” or have a “significant impact” (my emphases) on wildlife in resource areas covered by the Wetlands Protection Act. </w:t>
      </w:r>
      <w:proofErr w:type="gramStart"/>
      <w:r>
        <w:rPr>
          <w:rFonts w:cs="Times New Roman"/>
        </w:rPr>
        <w:t>Similarly, the applicant states that impacts on “important vernal pool habitat are not proposed or anticipated”.</w:t>
      </w:r>
      <w:proofErr w:type="gramEnd"/>
      <w:r>
        <w:rPr>
          <w:rFonts w:cs="Times New Roman"/>
        </w:rPr>
        <w:t xml:space="preserve"> All of these conclusions find a common justification in the fact that no review threshold in the WPA regulations would be exceeded by the development as proposed. All these conclusions can afford to disregard the importance of abutting upland because upland enjoys far less explicit legal protection.</w:t>
      </w:r>
    </w:p>
    <w:p w:rsidR="00BC4900" w:rsidRDefault="00BC4900" w:rsidP="00BC4900">
      <w:pPr>
        <w:pStyle w:val="BodyText"/>
        <w:rPr>
          <w:rFonts w:cs="Times New Roman"/>
        </w:rPr>
      </w:pPr>
      <w:r>
        <w:rPr>
          <w:rFonts w:cs="Times New Roman"/>
        </w:rPr>
        <w:t>Turning then from the laws of man to the laws of nature, we must adopt a holistic attitude that takes the long, large view: at least from the upper edge of the Alewife catchment to the most distant community downstream. While the letter of selected laws, if conscientiously observed by all parties in perpetuity, offers no apparent hindrance to implementation of the proposed project, the spirit behind all conservation law remains imperative to respect. Only by doing so can society overcome “the tyranny of small decisions” (</w:t>
      </w:r>
      <w:proofErr w:type="spellStart"/>
      <w:r>
        <w:rPr>
          <w:rFonts w:cs="Times New Roman"/>
        </w:rPr>
        <w:t>Anglestam</w:t>
      </w:r>
      <w:proofErr w:type="spellEnd"/>
      <w:r>
        <w:rPr>
          <w:rFonts w:cs="Times New Roman"/>
        </w:rPr>
        <w:t xml:space="preserve"> 1992), the cumulative impact over time of uncoordinated, piecemeal developments that have characterized land use in the Alewife Reservation area, and threaten to continue indefinitely (Mystic River Watershed Association 2002). </w:t>
      </w:r>
    </w:p>
    <w:p w:rsidR="00BC4900" w:rsidRDefault="00BC4900" w:rsidP="00BC4900">
      <w:pPr>
        <w:pStyle w:val="BodyText"/>
        <w:rPr>
          <w:rFonts w:cs="Times New Roman"/>
        </w:rPr>
      </w:pPr>
      <w:r>
        <w:rPr>
          <w:rFonts w:cs="Times New Roman"/>
        </w:rPr>
        <w:t>Even with our admittedly partial understanding of nature’s working, ecology yields guiding principles. As a linear open space, or greenway, the Alewife Reservation can be said to function in six basic ways (Thorne 1992):</w:t>
      </w:r>
    </w:p>
    <w:p w:rsidR="00BC4900" w:rsidRDefault="00BC4900" w:rsidP="00BC4900">
      <w:pPr>
        <w:spacing w:before="100" w:beforeAutospacing="1" w:after="100" w:afterAutospacing="1"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as a habitat for plant and animal communities;</w:t>
      </w:r>
    </w:p>
    <w:p w:rsidR="00BC4900" w:rsidRDefault="00BC4900" w:rsidP="00BC4900">
      <w:pPr>
        <w:spacing w:before="100" w:beforeAutospacing="1" w:after="100" w:afterAutospacing="1"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as a conduit for plants, animals, water, sediment, and chemicals;</w:t>
      </w:r>
    </w:p>
    <w:p w:rsidR="00BC4900" w:rsidRDefault="00BC4900" w:rsidP="00BC4900">
      <w:pPr>
        <w:spacing w:before="100" w:beforeAutospacing="1" w:after="100" w:afterAutospacing="1"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as a barrier preventing movement;</w:t>
      </w:r>
    </w:p>
    <w:p w:rsidR="00BC4900" w:rsidRDefault="00BC4900" w:rsidP="00BC4900">
      <w:pPr>
        <w:spacing w:before="100" w:beforeAutospacing="1" w:after="100" w:afterAutospacing="1"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as a filter allowing some things to pass while inhibiting others;</w:t>
      </w:r>
    </w:p>
    <w:p w:rsidR="00BC4900" w:rsidRDefault="00BC4900" w:rsidP="00BC4900">
      <w:pPr>
        <w:spacing w:before="100" w:beforeAutospacing="1" w:after="100" w:afterAutospacing="1" w:line="280" w:lineRule="atLeast"/>
        <w:ind w:left="720" w:hanging="360"/>
        <w:rPr>
          <w:rFonts w:cs="Times New Roman"/>
        </w:rPr>
      </w:pPr>
      <w:r>
        <w:rPr>
          <w:rFonts w:ascii="Wingdings 2" w:hAnsi="Wingdings 2" w:cs="Times New Roman"/>
        </w:rPr>
        <w:t></w:t>
      </w:r>
      <w:r>
        <w:rPr>
          <w:rFonts w:ascii="Times New Roman" w:hAnsi="Times New Roman" w:cs="Times New Roman"/>
          <w:sz w:val="14"/>
          <w:szCs w:val="14"/>
        </w:rPr>
        <w:t xml:space="preserve">        </w:t>
      </w:r>
      <w:r>
        <w:rPr>
          <w:rFonts w:cs="Times New Roman"/>
        </w:rPr>
        <w:t>as a source for animals or seeds that move to other parts of the landscape;</w:t>
      </w:r>
    </w:p>
    <w:p w:rsidR="00BC4900" w:rsidRDefault="00BC4900" w:rsidP="00BC4900">
      <w:pPr>
        <w:spacing w:after="240" w:line="280" w:lineRule="atLeast"/>
        <w:ind w:left="720" w:hanging="360"/>
        <w:rPr>
          <w:rFonts w:cs="Times New Roman"/>
        </w:rPr>
      </w:pPr>
      <w:proofErr w:type="gramStart"/>
      <w:r>
        <w:rPr>
          <w:rFonts w:ascii="Wingdings 2" w:hAnsi="Wingdings 2" w:cs="Times New Roman"/>
        </w:rPr>
        <w:t></w:t>
      </w:r>
      <w:r>
        <w:rPr>
          <w:rFonts w:ascii="Times New Roman" w:hAnsi="Times New Roman" w:cs="Times New Roman"/>
          <w:sz w:val="14"/>
          <w:szCs w:val="14"/>
        </w:rPr>
        <w:t xml:space="preserve">        </w:t>
      </w:r>
      <w:r>
        <w:rPr>
          <w:rFonts w:cs="Times New Roman"/>
        </w:rPr>
        <w:t>as a sink for trapping sediment, toxins, or nutrients.</w:t>
      </w:r>
      <w:proofErr w:type="gramEnd"/>
    </w:p>
    <w:p w:rsidR="00BC4900" w:rsidRDefault="00BC4900" w:rsidP="00BC4900">
      <w:pPr>
        <w:pStyle w:val="BodyText"/>
        <w:rPr>
          <w:rFonts w:cs="Times New Roman"/>
        </w:rPr>
      </w:pPr>
      <w:proofErr w:type="spellStart"/>
      <w:r>
        <w:rPr>
          <w:rFonts w:cs="Times New Roman"/>
        </w:rPr>
        <w:t>Labaree</w:t>
      </w:r>
      <w:proofErr w:type="spellEnd"/>
      <w:r>
        <w:rPr>
          <w:rFonts w:cs="Times New Roman"/>
        </w:rPr>
        <w:t xml:space="preserve"> (1992) considers that a greenway that follows a stream, as this one does, will provide all six functions at a high level of importance because of the heavily developed setting. The only function chosen for close attention in this report is habitat. </w:t>
      </w:r>
      <w:proofErr w:type="spellStart"/>
      <w:r>
        <w:rPr>
          <w:rFonts w:cs="Times New Roman"/>
        </w:rPr>
        <w:t>Noss</w:t>
      </w:r>
      <w:proofErr w:type="spellEnd"/>
      <w:r>
        <w:rPr>
          <w:rFonts w:cs="Times New Roman"/>
        </w:rPr>
        <w:t xml:space="preserve"> (1993) sees biological conservation as “arguably the most important function of greenways and of land-use planning in general”, to the point that, when human uses threaten biodiversity, the latter should be allowed to prevail.</w:t>
      </w:r>
    </w:p>
    <w:p w:rsidR="00BC4900" w:rsidRDefault="00BC4900" w:rsidP="00BC4900">
      <w:pPr>
        <w:pStyle w:val="BodyText"/>
        <w:rPr>
          <w:rFonts w:cs="Times New Roman"/>
        </w:rPr>
      </w:pPr>
      <w:r>
        <w:rPr>
          <w:rFonts w:cs="Times New Roman"/>
        </w:rPr>
        <w:t xml:space="preserve">The Alewife greenway’s conduit function serves to link larger natural areas along its route. If big enough, these areas, often termed patches, provide a refuge and possibly reproductive space for species that are sensitive to disturbance outside the habitat (e.g. predators of the habitat edge, invasive plants </w:t>
      </w:r>
      <w:proofErr w:type="spellStart"/>
      <w:r>
        <w:rPr>
          <w:rFonts w:cs="Times New Roman"/>
        </w:rPr>
        <w:t>etc</w:t>
      </w:r>
      <w:proofErr w:type="spellEnd"/>
      <w:r>
        <w:rPr>
          <w:rFonts w:cs="Times New Roman"/>
        </w:rPr>
        <w:t xml:space="preserve">). Few patches are big enough, certainly not on the Belmont-Cambridge line, to provide suitable habitat for all the indigenous plant and animal species of record for an area. However, size is important – generally the bigger the area, the better. So is shape – </w:t>
      </w:r>
      <w:proofErr w:type="spellStart"/>
      <w:r>
        <w:rPr>
          <w:rFonts w:cs="Times New Roman"/>
        </w:rPr>
        <w:t>equidimensional</w:t>
      </w:r>
      <w:proofErr w:type="spellEnd"/>
      <w:r>
        <w:rPr>
          <w:rFonts w:cs="Times New Roman"/>
        </w:rPr>
        <w:t xml:space="preserve"> rather than linear. One intact area is better than the same total area in separate patches. Several patches close together are better than the same patches remote from one another. Several patches within equal distance of one another are better than the same patches strung out in a line. Several patches connected by a linear habitat are better than the same patches unlinked. Figure 1 schematically illustrates these principles.</w:t>
      </w:r>
    </w:p>
    <w:p w:rsidR="00BC4900" w:rsidRDefault="00BC4900" w:rsidP="00BC4900">
      <w:pPr>
        <w:pStyle w:val="BodyText"/>
        <w:rPr>
          <w:rFonts w:cs="Times New Roman"/>
        </w:rPr>
      </w:pPr>
      <w:r>
        <w:rPr>
          <w:rFonts w:cs="Times New Roman"/>
        </w:rPr>
        <w:t xml:space="preserve">Many of the most area-sensitive animals are </w:t>
      </w:r>
      <w:proofErr w:type="spellStart"/>
      <w:r>
        <w:rPr>
          <w:rFonts w:cs="Times New Roman"/>
        </w:rPr>
        <w:t>Neotropical</w:t>
      </w:r>
      <w:proofErr w:type="spellEnd"/>
      <w:r>
        <w:rPr>
          <w:rFonts w:cs="Times New Roman"/>
        </w:rPr>
        <w:t xml:space="preserve"> migrant birds. These, together with native short-distance migrants and resident species, typically require habitat buffers from 25m to 200m, depending on the species, around the core area of the patch in which they can breed (</w:t>
      </w:r>
      <w:proofErr w:type="spellStart"/>
      <w:r>
        <w:rPr>
          <w:rFonts w:cs="Times New Roman"/>
        </w:rPr>
        <w:t>Faaborg</w:t>
      </w:r>
      <w:proofErr w:type="spellEnd"/>
      <w:r>
        <w:rPr>
          <w:rFonts w:cs="Times New Roman"/>
        </w:rPr>
        <w:t xml:space="preserve"> et al. 1995). Suitable core area size also varies according to species, and even significantly within a species, e.g. Wood Thrush (Robbins et al. 1989), a </w:t>
      </w:r>
      <w:proofErr w:type="spellStart"/>
      <w:r>
        <w:rPr>
          <w:rFonts w:cs="Times New Roman"/>
        </w:rPr>
        <w:t>Neotropical</w:t>
      </w:r>
      <w:proofErr w:type="spellEnd"/>
      <w:r>
        <w:rPr>
          <w:rFonts w:cs="Times New Roman"/>
        </w:rPr>
        <w:t xml:space="preserve"> migrant that is reported as an uncommon breeding bird at the Alewife Reservation (FAR 2004). Defining a minimum viable reproductive area for each species may be inadvisable, since a plant population typically requires a far smaller space than a bird, and even </w:t>
      </w:r>
      <w:proofErr w:type="gramStart"/>
      <w:r>
        <w:rPr>
          <w:rFonts w:cs="Times New Roman"/>
        </w:rPr>
        <w:t>birds</w:t>
      </w:r>
      <w:proofErr w:type="gramEnd"/>
      <w:r>
        <w:rPr>
          <w:rFonts w:cs="Times New Roman"/>
        </w:rPr>
        <w:t xml:space="preserve"> range in reproductive space requirements from less than 1 hectare to 3000 hectares (Shafer 1995). The overriding principle for core breeding area, as it is for total habitat area, remains the same – bigger </w:t>
      </w:r>
      <w:proofErr w:type="gramStart"/>
      <w:r>
        <w:rPr>
          <w:rFonts w:cs="Times New Roman"/>
        </w:rPr>
        <w:t>is better, other things</w:t>
      </w:r>
      <w:proofErr w:type="gramEnd"/>
      <w:r>
        <w:rPr>
          <w:rFonts w:cs="Times New Roman"/>
        </w:rPr>
        <w:t xml:space="preserve"> being equal.</w:t>
      </w:r>
    </w:p>
    <w:p w:rsidR="00BC4900" w:rsidRDefault="00BC4900" w:rsidP="00BC4900">
      <w:pPr>
        <w:pStyle w:val="BodyText"/>
        <w:rPr>
          <w:rFonts w:cs="Times New Roman"/>
        </w:rPr>
      </w:pPr>
      <w:r>
        <w:rPr>
          <w:rFonts w:cs="Times New Roman"/>
        </w:rPr>
        <w:t>A recent breeding bird study of six golf courses in Ohio (Porter et al. 2005) exemplifies the importance of open space size. Natural landscapes (forests, riparian areas and open water) surrounding a golf course were found to promote bird diversity, and residential development was found to reduce it. Natural landscape buffers less than 500 feet wide were associated with comparatively low bird abundance and species richness.</w:t>
      </w:r>
    </w:p>
    <w:p w:rsidR="00BC4900" w:rsidRDefault="00BC4900" w:rsidP="00BC4900">
      <w:pPr>
        <w:pStyle w:val="BodyText"/>
        <w:rPr>
          <w:rFonts w:cs="Times New Roman"/>
        </w:rPr>
      </w:pPr>
      <w:r>
        <w:rPr>
          <w:rFonts w:cs="Times New Roman"/>
        </w:rPr>
        <w:t xml:space="preserve">The Alewife Reservation and surrounding open space widen toward the west into an area sufficiently big and compact to call a patch (Figure 2). As defined for present purposes, the patch is bounded on </w:t>
      </w:r>
    </w:p>
    <w:p w:rsidR="00BC4900" w:rsidRDefault="00BC4900" w:rsidP="00BC4900">
      <w:pPr>
        <w:spacing w:before="100" w:beforeAutospacing="1" w:after="100" w:afterAutospacing="1"/>
        <w:jc w:val="center"/>
        <w:rPr>
          <w:rFonts w:cs="Times New Roman"/>
        </w:rPr>
      </w:pPr>
      <w:r>
        <w:rPr>
          <w:rFonts w:ascii="Times New Roman" w:eastAsia="Times New Roman" w:hAnsi="Times New Roman" w:cs="Times New Roman"/>
          <w:sz w:val="22"/>
          <w:szCs w:val="22"/>
        </w:rPr>
        <w:br w:type="page"/>
      </w:r>
      <w:r>
        <w:rPr>
          <w:rFonts w:cs="Times New Roman"/>
          <w:noProof/>
        </w:rPr>
        <w:drawing>
          <wp:inline distT="0" distB="0" distL="0" distR="0">
            <wp:extent cx="3606800" cy="5969000"/>
            <wp:effectExtent l="0" t="0" r="0" b="0"/>
            <wp:docPr id="1" name="Picture 1" descr="http://friendsofalewifereservation.org/2006_Archive/2006_02_ecologicaloverview_normandeauassociates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iendsofalewifereservation.org/2006_Archive/2006_02_ecologicaloverview_normandeauassociates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6800" cy="5969000"/>
                    </a:xfrm>
                    <a:prstGeom prst="rect">
                      <a:avLst/>
                    </a:prstGeom>
                    <a:noFill/>
                    <a:ln>
                      <a:noFill/>
                    </a:ln>
                  </pic:spPr>
                </pic:pic>
              </a:graphicData>
            </a:graphic>
          </wp:inline>
        </w:drawing>
      </w:r>
    </w:p>
    <w:p w:rsidR="00BC4900" w:rsidRDefault="00BC4900" w:rsidP="00BC4900">
      <w:pPr>
        <w:spacing w:before="100" w:beforeAutospacing="1" w:after="100" w:afterAutospacing="1"/>
        <w:jc w:val="center"/>
        <w:rPr>
          <w:rFonts w:cs="Times New Roman"/>
        </w:rPr>
      </w:pPr>
      <w:r>
        <w:rPr>
          <w:rFonts w:cs="Times New Roman"/>
        </w:rPr>
        <w:t> </w:t>
      </w:r>
    </w:p>
    <w:p w:rsidR="00BC4900" w:rsidRDefault="00BC4900" w:rsidP="00BC4900">
      <w:pPr>
        <w:pStyle w:val="TableofFigures"/>
        <w:rPr>
          <w:rFonts w:cs="Times New Roman"/>
        </w:rPr>
      </w:pPr>
      <w:bookmarkStart w:id="6" w:name="_Toc127080967"/>
      <w:r>
        <w:rPr>
          <w:rFonts w:cs="Times New Roman"/>
        </w:rPr>
        <w:t>Figure 1</w:t>
      </w:r>
      <w:proofErr w:type="gramStart"/>
      <w:r>
        <w:rPr>
          <w:rFonts w:cs="Times New Roman"/>
        </w:rPr>
        <w:t>........</w:t>
      </w:r>
      <w:proofErr w:type="gramEnd"/>
      <w:r>
        <w:rPr>
          <w:rFonts w:cs="Times New Roman"/>
        </w:rPr>
        <w:t xml:space="preserve"> </w:t>
      </w:r>
      <w:proofErr w:type="gramStart"/>
      <w:r>
        <w:rPr>
          <w:rFonts w:cs="Times New Roman"/>
        </w:rPr>
        <w:t>Size, spacing, orientation and shape of habitat fragments relative to probability of species survival.</w:t>
      </w:r>
      <w:proofErr w:type="gramEnd"/>
      <w:r>
        <w:rPr>
          <w:rFonts w:cs="Times New Roman"/>
        </w:rPr>
        <w:t xml:space="preserve"> </w:t>
      </w:r>
      <w:proofErr w:type="gramStart"/>
      <w:r>
        <w:rPr>
          <w:rFonts w:cs="Times New Roman"/>
        </w:rPr>
        <w:t xml:space="preserve">After </w:t>
      </w:r>
      <w:proofErr w:type="spellStart"/>
      <w:r>
        <w:rPr>
          <w:rFonts w:cs="Times New Roman"/>
        </w:rPr>
        <w:t>Faaborg</w:t>
      </w:r>
      <w:proofErr w:type="spellEnd"/>
      <w:r>
        <w:rPr>
          <w:rFonts w:cs="Times New Roman"/>
        </w:rPr>
        <w:t xml:space="preserve"> et al. (1995) after Diamond (1975).</w:t>
      </w:r>
      <w:bookmarkEnd w:id="6"/>
      <w:proofErr w:type="gramEnd"/>
    </w:p>
    <w:tbl>
      <w:tblPr>
        <w:tblpPr w:leftFromText="60" w:rightFromText="60" w:vertAnchor="text"/>
        <w:tblW w:w="0" w:type="auto"/>
        <w:tblCellSpacing w:w="0" w:type="dxa"/>
        <w:tblCellMar>
          <w:left w:w="0" w:type="dxa"/>
          <w:right w:w="0" w:type="dxa"/>
        </w:tblCellMar>
        <w:tblLook w:val="04A0" w:firstRow="1" w:lastRow="0" w:firstColumn="1" w:lastColumn="0" w:noHBand="0" w:noVBand="1"/>
      </w:tblPr>
      <w:tblGrid>
        <w:gridCol w:w="3980"/>
        <w:gridCol w:w="40"/>
        <w:gridCol w:w="120"/>
        <w:gridCol w:w="40"/>
      </w:tblGrid>
      <w:tr w:rsidR="00BC4900" w:rsidTr="00BC4900">
        <w:trPr>
          <w:trHeight w:val="3340"/>
          <w:tblCellSpacing w:w="0" w:type="dxa"/>
        </w:trPr>
        <w:tc>
          <w:tcPr>
            <w:tcW w:w="3980" w:type="dxa"/>
            <w:vAlign w:val="center"/>
            <w:hideMark/>
          </w:tcPr>
          <w:p w:rsidR="00BC4900" w:rsidRDefault="00BC4900">
            <w:pPr>
              <w:rPr>
                <w:rFonts w:ascii="Times" w:eastAsia="Times New Roman" w:hAnsi="Times" w:cs="Times New Roman"/>
              </w:rPr>
            </w:pPr>
            <w:r>
              <w:rPr>
                <w:rFonts w:ascii="Times New Roman" w:eastAsia="Times New Roman" w:hAnsi="Times New Roman" w:cs="Times New Roman"/>
                <w:sz w:val="22"/>
                <w:szCs w:val="22"/>
              </w:rPr>
              <w:br w:type="page"/>
            </w:r>
          </w:p>
        </w:tc>
        <w:tc>
          <w:tcPr>
            <w:tcW w:w="40" w:type="dxa"/>
            <w:vAlign w:val="center"/>
            <w:hideMark/>
          </w:tcPr>
          <w:p w:rsidR="00BC4900" w:rsidRDefault="00BC4900">
            <w:pPr>
              <w:rPr>
                <w:rFonts w:ascii="Times" w:eastAsia="Times New Roman" w:hAnsi="Times" w:cs="Times New Roman"/>
              </w:rPr>
            </w:pPr>
          </w:p>
        </w:tc>
        <w:tc>
          <w:tcPr>
            <w:tcW w:w="120" w:type="dxa"/>
            <w:vAlign w:val="center"/>
            <w:hideMark/>
          </w:tcPr>
          <w:p w:rsidR="00BC4900" w:rsidRDefault="00BC4900">
            <w:pPr>
              <w:rPr>
                <w:rFonts w:ascii="Times" w:eastAsia="Times New Roman" w:hAnsi="Times" w:cs="Times New Roman"/>
              </w:rPr>
            </w:pPr>
          </w:p>
        </w:tc>
        <w:tc>
          <w:tcPr>
            <w:tcW w:w="40" w:type="dxa"/>
            <w:vAlign w:val="center"/>
            <w:hideMark/>
          </w:tcPr>
          <w:p w:rsidR="00BC4900" w:rsidRDefault="00BC4900">
            <w:pPr>
              <w:rPr>
                <w:rFonts w:ascii="Times" w:eastAsia="Times New Roman" w:hAnsi="Times" w:cs="Times New Roman"/>
              </w:rPr>
            </w:pPr>
          </w:p>
        </w:tc>
      </w:tr>
      <w:tr w:rsidR="00BC4900" w:rsidTr="00BC4900">
        <w:trPr>
          <w:trHeight w:val="40"/>
          <w:tblCellSpacing w:w="0" w:type="dxa"/>
        </w:trPr>
        <w:tc>
          <w:tcPr>
            <w:tcW w:w="0" w:type="auto"/>
            <w:vAlign w:val="center"/>
            <w:hideMark/>
          </w:tcPr>
          <w:p w:rsidR="00BC4900" w:rsidRDefault="00BC4900">
            <w:pPr>
              <w:rPr>
                <w:rFonts w:ascii="Times" w:eastAsia="Times New Roman" w:hAnsi="Times" w:cs="Times New Roman"/>
                <w:sz w:val="4"/>
              </w:rPr>
            </w:pPr>
          </w:p>
        </w:tc>
        <w:tc>
          <w:tcPr>
            <w:tcW w:w="0" w:type="auto"/>
            <w:gridSpan w:val="2"/>
            <w:vAlign w:val="center"/>
            <w:hideMark/>
          </w:tcPr>
          <w:p w:rsidR="00BC4900" w:rsidRDefault="00BC4900">
            <w:pPr>
              <w:rPr>
                <w:rFonts w:ascii="Times" w:eastAsia="Times New Roman" w:hAnsi="Times" w:cs="Times New Roman"/>
                <w:sz w:val="4"/>
              </w:rPr>
            </w:pPr>
          </w:p>
        </w:tc>
        <w:tc>
          <w:tcPr>
            <w:tcW w:w="0" w:type="auto"/>
            <w:hideMark/>
          </w:tcPr>
          <w:p w:rsidR="00BC4900" w:rsidRDefault="00BC4900">
            <w:pPr>
              <w:spacing w:line="40" w:lineRule="atLeast"/>
              <w:rPr>
                <w:rFonts w:ascii="Times" w:eastAsia="Times New Roman" w:hAnsi="Times" w:cs="Times New Roman"/>
              </w:rPr>
            </w:pPr>
            <w:r>
              <w:rPr>
                <w:rFonts w:eastAsia="Times New Roman" w:cs="Times New Roman"/>
                <w:noProof/>
              </w:rPr>
              <w:drawing>
                <wp:inline distT="0" distB="0" distL="0" distR="0">
                  <wp:extent cx="25400" cy="25400"/>
                  <wp:effectExtent l="0" t="0" r="0" b="0"/>
                  <wp:docPr id="2" name="Picture 2" descr="http://friendsofalewifereservation.org/2006_Archive/2006_02_ecologicaloverview_normandeauassociates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riendsofalewifereservation.org/2006_Archive/2006_02_ecologicaloverview_normandeauassociates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r>
      <w:tr w:rsidR="00BC4900" w:rsidTr="00BC4900">
        <w:trPr>
          <w:trHeight w:val="200"/>
          <w:tblCellSpacing w:w="0" w:type="dxa"/>
        </w:trPr>
        <w:tc>
          <w:tcPr>
            <w:tcW w:w="0" w:type="auto"/>
            <w:vAlign w:val="center"/>
            <w:hideMark/>
          </w:tcPr>
          <w:p w:rsidR="00BC4900" w:rsidRDefault="00BC4900">
            <w:pPr>
              <w:rPr>
                <w:rFonts w:ascii="Times" w:eastAsia="Times New Roman" w:hAnsi="Times" w:cs="Times New Roman"/>
              </w:rPr>
            </w:pPr>
          </w:p>
        </w:tc>
        <w:tc>
          <w:tcPr>
            <w:tcW w:w="0" w:type="auto"/>
            <w:vAlign w:val="center"/>
            <w:hideMark/>
          </w:tcPr>
          <w:p w:rsidR="00BC4900" w:rsidRDefault="00BC4900">
            <w:pPr>
              <w:rPr>
                <w:rFonts w:ascii="Times New Roman" w:eastAsia="Times New Roman" w:hAnsi="Times New Roman" w:cs="Times New Roman"/>
              </w:rPr>
            </w:pPr>
          </w:p>
        </w:tc>
        <w:tc>
          <w:tcPr>
            <w:tcW w:w="0" w:type="auto"/>
            <w:vAlign w:val="center"/>
            <w:hideMark/>
          </w:tcPr>
          <w:p w:rsidR="00BC4900" w:rsidRDefault="00BC4900">
            <w:pPr>
              <w:rPr>
                <w:rFonts w:ascii="Times New Roman" w:eastAsia="Times New Roman" w:hAnsi="Times New Roman" w:cs="Times New Roman"/>
              </w:rPr>
            </w:pPr>
          </w:p>
        </w:tc>
        <w:tc>
          <w:tcPr>
            <w:tcW w:w="0" w:type="auto"/>
            <w:vAlign w:val="center"/>
            <w:hideMark/>
          </w:tcPr>
          <w:p w:rsidR="00BC4900" w:rsidRDefault="00BC4900">
            <w:pPr>
              <w:rPr>
                <w:rFonts w:ascii="Times New Roman" w:eastAsia="Times New Roman" w:hAnsi="Times New Roman" w:cs="Times New Roman"/>
              </w:rPr>
            </w:pPr>
          </w:p>
        </w:tc>
      </w:tr>
      <w:tr w:rsidR="00BC4900" w:rsidTr="00BC4900">
        <w:trPr>
          <w:trHeight w:val="40"/>
          <w:tblCellSpacing w:w="0" w:type="dxa"/>
        </w:trPr>
        <w:tc>
          <w:tcPr>
            <w:tcW w:w="0" w:type="auto"/>
            <w:vAlign w:val="center"/>
            <w:hideMark/>
          </w:tcPr>
          <w:p w:rsidR="00BC4900" w:rsidRDefault="00BC4900">
            <w:pPr>
              <w:rPr>
                <w:rFonts w:ascii="Times" w:eastAsia="Times New Roman" w:hAnsi="Times" w:cs="Times New Roman"/>
                <w:sz w:val="4"/>
              </w:rPr>
            </w:pPr>
          </w:p>
        </w:tc>
        <w:tc>
          <w:tcPr>
            <w:tcW w:w="0" w:type="auto"/>
            <w:hideMark/>
          </w:tcPr>
          <w:p w:rsidR="00BC4900" w:rsidRDefault="00BC4900">
            <w:pPr>
              <w:spacing w:line="40" w:lineRule="atLeast"/>
              <w:rPr>
                <w:rFonts w:ascii="Times" w:eastAsia="Times New Roman" w:hAnsi="Times" w:cs="Times New Roman"/>
              </w:rPr>
            </w:pPr>
            <w:r>
              <w:rPr>
                <w:rFonts w:eastAsia="Times New Roman" w:cs="Times New Roman"/>
                <w:noProof/>
              </w:rPr>
              <w:drawing>
                <wp:inline distT="0" distB="0" distL="0" distR="0">
                  <wp:extent cx="25400" cy="25400"/>
                  <wp:effectExtent l="0" t="0" r="0" b="0"/>
                  <wp:docPr id="3" name="Picture 3" descr="http://friendsofalewifereservation.org/2006_Archive/2006_02_ecologicaloverview_normandeauassociates_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iendsofalewifereservation.org/2006_Archive/2006_02_ecologicaloverview_normandeauassociates_files/image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 cy="25400"/>
                          </a:xfrm>
                          <a:prstGeom prst="rect">
                            <a:avLst/>
                          </a:prstGeom>
                          <a:noFill/>
                          <a:ln>
                            <a:noFill/>
                          </a:ln>
                        </pic:spPr>
                      </pic:pic>
                    </a:graphicData>
                  </a:graphic>
                </wp:inline>
              </w:drawing>
            </w:r>
          </w:p>
        </w:tc>
        <w:tc>
          <w:tcPr>
            <w:tcW w:w="0" w:type="auto"/>
            <w:vAlign w:val="center"/>
            <w:hideMark/>
          </w:tcPr>
          <w:p w:rsidR="00BC4900" w:rsidRDefault="00BC4900">
            <w:pPr>
              <w:rPr>
                <w:rFonts w:ascii="Times New Roman" w:eastAsia="Times New Roman" w:hAnsi="Times New Roman" w:cs="Times New Roman"/>
              </w:rPr>
            </w:pPr>
          </w:p>
        </w:tc>
        <w:tc>
          <w:tcPr>
            <w:tcW w:w="0" w:type="auto"/>
            <w:vAlign w:val="center"/>
            <w:hideMark/>
          </w:tcPr>
          <w:p w:rsidR="00BC4900" w:rsidRDefault="00BC4900">
            <w:pPr>
              <w:rPr>
                <w:rFonts w:ascii="Times New Roman" w:eastAsia="Times New Roman" w:hAnsi="Times New Roman" w:cs="Times New Roman"/>
              </w:rPr>
            </w:pPr>
          </w:p>
        </w:tc>
      </w:tr>
    </w:tbl>
    <w:p w:rsidR="00BC4900" w:rsidRDefault="00BC4900" w:rsidP="00BC4900">
      <w:pPr>
        <w:spacing w:before="100" w:beforeAutospacing="1" w:after="100" w:afterAutospacing="1"/>
        <w:jc w:val="center"/>
        <w:rPr>
          <w:rFonts w:cs="Times New Roman"/>
        </w:rPr>
      </w:pPr>
      <w:r>
        <w:rPr>
          <w:rFonts w:cs="Times New Roman"/>
        </w:rPr>
        <w:t> </w:t>
      </w:r>
    </w:p>
    <w:p w:rsidR="00BC4900" w:rsidRDefault="00BC4900" w:rsidP="00BC4900">
      <w:pPr>
        <w:rPr>
          <w:rFonts w:eastAsia="Times New Roman" w:cs="Times New Roman"/>
        </w:rPr>
      </w:pPr>
      <w:r>
        <w:rPr>
          <w:rFonts w:eastAsia="Times New Roman" w:cs="Times New Roman"/>
        </w:rPr>
        <w:br w:type="textWrapping" w:clear="all"/>
      </w:r>
    </w:p>
    <w:p w:rsidR="00BC4900" w:rsidRDefault="00BC4900" w:rsidP="00BC4900">
      <w:pPr>
        <w:pStyle w:val="TableofFigures"/>
        <w:rPr>
          <w:rFonts w:cs="Times New Roman"/>
        </w:rPr>
      </w:pPr>
      <w:r>
        <w:rPr>
          <w:rFonts w:cs="Times New Roman"/>
          <w:noProof/>
        </w:rPr>
        <w:drawing>
          <wp:inline distT="0" distB="0" distL="0" distR="0">
            <wp:extent cx="863600" cy="1371600"/>
            <wp:effectExtent l="0" t="0" r="0" b="0"/>
            <wp:docPr id="4" name="Picture 4" descr="http://friendsofalewifereservation.org/2006_Archive/2006_02_ecologicaloverview_normandeauassociates_files/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riendsofalewifereservation.org/2006_Archive/2006_02_ecologicaloverview_normandeauassociates_files/image00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1371600"/>
                    </a:xfrm>
                    <a:prstGeom prst="rect">
                      <a:avLst/>
                    </a:prstGeom>
                    <a:noFill/>
                    <a:ln>
                      <a:noFill/>
                    </a:ln>
                  </pic:spPr>
                </pic:pic>
              </a:graphicData>
            </a:graphic>
          </wp:inline>
        </w:drawing>
      </w:r>
      <w:bookmarkStart w:id="7" w:name="_Toc127080968"/>
      <w:r>
        <w:rPr>
          <w:rFonts w:cs="Times New Roman"/>
        </w:rPr>
        <w:t>Figure 2</w:t>
      </w:r>
      <w:proofErr w:type="gramStart"/>
      <w:r>
        <w:rPr>
          <w:rFonts w:cs="Times New Roman"/>
        </w:rPr>
        <w:t>........</w:t>
      </w:r>
      <w:proofErr w:type="gramEnd"/>
      <w:r>
        <w:rPr>
          <w:rFonts w:cs="Times New Roman"/>
        </w:rPr>
        <w:t xml:space="preserve"> Proposed development area, Belmont Uplands site. Approximate boundary from Epsilon Associates, Inc. (</w:t>
      </w:r>
      <w:bookmarkEnd w:id="7"/>
      <w:r>
        <w:rPr>
          <w:rFonts w:cs="Times New Roman"/>
        </w:rPr>
        <w:t xml:space="preserve">14 Oct. 2003), Conceptual Conservation Restriction Plan. Base Map: 2001 Massachusetts GIS </w:t>
      </w:r>
      <w:proofErr w:type="spellStart"/>
      <w:r>
        <w:rPr>
          <w:rFonts w:cs="Times New Roman"/>
        </w:rPr>
        <w:t>Orthophotos</w:t>
      </w:r>
      <w:proofErr w:type="spellEnd"/>
      <w:r>
        <w:rPr>
          <w:rFonts w:cs="Times New Roman"/>
        </w:rPr>
        <w:t>.</w:t>
      </w:r>
    </w:p>
    <w:p w:rsidR="00BC4900" w:rsidRDefault="00BC4900" w:rsidP="00BC4900">
      <w:pPr>
        <w:pStyle w:val="BodyText"/>
        <w:rPr>
          <w:rFonts w:cs="Times New Roman"/>
        </w:rPr>
      </w:pPr>
      <w:proofErr w:type="gramStart"/>
      <w:r>
        <w:rPr>
          <w:rFonts w:cs="Times New Roman"/>
        </w:rPr>
        <w:t>the</w:t>
      </w:r>
      <w:proofErr w:type="gramEnd"/>
      <w:r>
        <w:rPr>
          <w:rFonts w:cs="Times New Roman"/>
        </w:rPr>
        <w:t xml:space="preserve"> north by Rte. 2 and its access ramp, office buildings and parking lots; on the east, by the West Roadway; on the south by the railroad track; and on the west by houses and Little Pond. Little River and Acorn Park Road are considered as relatively minor habitat discontinuities embedded in the open-space matrix; although clearly a small vertebrate or ground-dwelling invertebrate might treat these linear features as barriers. East of Acorn Park Road, the open space includes less forest, but the dominant effect is one of contiguous, relatively undisturbed vegetation. </w:t>
      </w:r>
    </w:p>
    <w:p w:rsidR="00BC4900" w:rsidRDefault="00BC4900" w:rsidP="00BC4900">
      <w:pPr>
        <w:pStyle w:val="BodyText"/>
        <w:rPr>
          <w:rFonts w:cs="Times New Roman"/>
        </w:rPr>
      </w:pPr>
      <w:r>
        <w:rPr>
          <w:rFonts w:cs="Times New Roman"/>
        </w:rPr>
        <w:t>As an example of the disturbance effect the proposed development would have on this open-space patch, Figure 3 illustrates its core area at a sample setback of 100 meters (328 feet) from the edge of the patch, with and without the development. Aside from causing a disproportionately heavy loss of mature upland forest, the location of the development results in a halving of the core area.</w:t>
      </w:r>
    </w:p>
    <w:p w:rsidR="00BC4900" w:rsidRDefault="00BC4900" w:rsidP="00BC4900">
      <w:pPr>
        <w:pStyle w:val="BodyText"/>
        <w:rPr>
          <w:rFonts w:cs="Times New Roman"/>
        </w:rPr>
      </w:pPr>
      <w:r>
        <w:rPr>
          <w:rFonts w:cs="Times New Roman"/>
        </w:rPr>
        <w:t xml:space="preserve">The location of the proposed development is also prejudicial to the viability of the two reported vernal pools. Figure 4 demonstrates management guidelines promulgated as the result of recent vernal pool research (Calhoun and </w:t>
      </w:r>
      <w:proofErr w:type="spellStart"/>
      <w:r>
        <w:rPr>
          <w:rFonts w:cs="Times New Roman"/>
        </w:rPr>
        <w:t>Klemens</w:t>
      </w:r>
      <w:proofErr w:type="spellEnd"/>
      <w:r>
        <w:rPr>
          <w:rFonts w:cs="Times New Roman"/>
        </w:rPr>
        <w:t xml:space="preserve"> 2002). It appears that the 100-foot buffer setback zone prescribed decades ago by the Wetlands Protection Act should be regarded as only the most conservative estimate of necessary protective space. Figure 5 centers two circles around the location of both reported vernal pools, the smaller circle set at the 100-foot mark, the larger set at the outer limit (750 feet) prescribed by Calhoun and </w:t>
      </w:r>
      <w:proofErr w:type="spellStart"/>
      <w:r>
        <w:rPr>
          <w:rFonts w:cs="Times New Roman"/>
        </w:rPr>
        <w:t>Klemens</w:t>
      </w:r>
      <w:proofErr w:type="spellEnd"/>
      <w:r>
        <w:rPr>
          <w:rFonts w:cs="Times New Roman"/>
        </w:rPr>
        <w:t xml:space="preserve"> (ibid.) to encompass their recommended management area. The degree to which both outer arcs overlap the proposed development site indicates the possibility of a potentially significant loss of upland habitat for several vertebrate species with a near-total dependency on vernal pools as reproductive sites and the need for extensive upland forest close by.</w:t>
      </w:r>
    </w:p>
    <w:p w:rsidR="00BC4900" w:rsidRDefault="00BC4900" w:rsidP="00BC4900">
      <w:pPr>
        <w:pStyle w:val="BodyText"/>
        <w:rPr>
          <w:rFonts w:cs="Times New Roman"/>
        </w:rPr>
      </w:pPr>
      <w:r>
        <w:rPr>
          <w:rFonts w:cs="Times New Roman"/>
        </w:rPr>
        <w:t xml:space="preserve">In actuality, animals dispersing from the vernal pools are unlikely to exhibit radial symmetry in their distribution. </w:t>
      </w:r>
      <w:proofErr w:type="gramStart"/>
      <w:r>
        <w:rPr>
          <w:rFonts w:cs="Times New Roman"/>
        </w:rPr>
        <w:t>Any so-called obligate and facultative amphibians and reptiles using the vernal pool by Little Pond are confined by the pond on the west, the Little River on the south and the Rte. 2 access road on the north</w:t>
      </w:r>
      <w:proofErr w:type="gramEnd"/>
      <w:r>
        <w:rPr>
          <w:rFonts w:cs="Times New Roman"/>
        </w:rPr>
        <w:t xml:space="preserve">. The result may be a disproportionate reliance on the Belmont Uplands forest on the east. Similarly, animals from the other vernal pool would avoid Rte. 2 and its access ramps on the north, and many would find the marsh east and south unsuitable. They would have to cross Acorn Park Road to the west, but within relatively easy reach on the other side is upland forest similar to that surrounding their pool. Most of this highly suitable non-breeding habitat would disappear under the proposed housing development. </w:t>
      </w:r>
    </w:p>
    <w:p w:rsidR="00BC4900" w:rsidRDefault="00BC4900" w:rsidP="00BC4900">
      <w:pPr>
        <w:pStyle w:val="Heading1"/>
        <w:rPr>
          <w:rFonts w:eastAsia="Times New Roman" w:cs="Times New Roman"/>
        </w:rPr>
      </w:pPr>
      <w:bookmarkStart w:id="8" w:name="_Toc127080953"/>
      <w:r>
        <w:rPr>
          <w:rFonts w:eastAsia="Times New Roman" w:cs="Times New Roman"/>
          <w:caps/>
          <w:lang w:val="en-CA"/>
        </w:rPr>
        <w:t>3.0 Summary</w:t>
      </w:r>
      <w:bookmarkEnd w:id="8"/>
    </w:p>
    <w:p w:rsidR="00BC4900" w:rsidRDefault="00BC4900" w:rsidP="00BC4900">
      <w:pPr>
        <w:pStyle w:val="BodyText"/>
        <w:rPr>
          <w:rFonts w:cs="Times New Roman"/>
        </w:rPr>
      </w:pPr>
      <w:r>
        <w:rPr>
          <w:rFonts w:cs="Times New Roman"/>
        </w:rPr>
        <w:t xml:space="preserve">Over the past decade, the Alewife Reservation has become the subject of intense activity by individuals and organizations with an interest in its preservation as open space. Its biota, diverse for such an urban setting, have been well studied and can benefit greatly in future from habitat improvements proposed as part of several major restoration initiatives. The upland, riparian and wetland vegetation provide important free services in the regulation of </w:t>
      </w:r>
      <w:proofErr w:type="spellStart"/>
      <w:r>
        <w:rPr>
          <w:rFonts w:cs="Times New Roman"/>
        </w:rPr>
        <w:t>stormwater</w:t>
      </w:r>
      <w:proofErr w:type="spellEnd"/>
      <w:r>
        <w:rPr>
          <w:rFonts w:cs="Times New Roman"/>
        </w:rPr>
        <w:t xml:space="preserve"> runoff and improvement of water quality. This combination of biotic and </w:t>
      </w:r>
      <w:proofErr w:type="spellStart"/>
      <w:r>
        <w:rPr>
          <w:rFonts w:cs="Times New Roman"/>
        </w:rPr>
        <w:t>physico</w:t>
      </w:r>
      <w:proofErr w:type="spellEnd"/>
      <w:r>
        <w:rPr>
          <w:rFonts w:cs="Times New Roman"/>
        </w:rPr>
        <w:t xml:space="preserve">-chemical functions can only maintain current levels of performance with full protection of the open-space buffer that still adjoins the Reservation in places. The current proposal to develop the Belmont Uplands forest part of this buffer would have its most adverse impacts on certain animal species, particularly those that are area-sensitive, and vernal-pool </w:t>
      </w:r>
      <w:proofErr w:type="spellStart"/>
      <w:r>
        <w:rPr>
          <w:rFonts w:cs="Times New Roman"/>
        </w:rPr>
        <w:t>herpetofauna</w:t>
      </w:r>
      <w:proofErr w:type="spellEnd"/>
      <w:r>
        <w:rPr>
          <w:rFonts w:cs="Times New Roman"/>
        </w:rPr>
        <w:t>.</w:t>
      </w:r>
    </w:p>
    <w:p w:rsidR="00BC4900" w:rsidRDefault="00BC4900" w:rsidP="00BC4900">
      <w:pPr>
        <w:spacing w:before="100" w:beforeAutospacing="1" w:after="100" w:afterAutospacing="1"/>
        <w:jc w:val="center"/>
        <w:rPr>
          <w:rFonts w:cs="Times New Roman"/>
        </w:rPr>
      </w:pPr>
      <w:r>
        <w:rPr>
          <w:rFonts w:ascii="Times New Roman" w:eastAsia="Times New Roman" w:hAnsi="Times New Roman" w:cs="Times New Roman"/>
          <w:sz w:val="22"/>
          <w:szCs w:val="22"/>
        </w:rPr>
        <w:br w:type="page"/>
      </w:r>
      <w:r>
        <w:rPr>
          <w:rFonts w:cs="Times New Roman"/>
          <w:noProof/>
        </w:rPr>
        <w:drawing>
          <wp:inline distT="0" distB="0" distL="0" distR="0">
            <wp:extent cx="6438900" cy="6680200"/>
            <wp:effectExtent l="0" t="0" r="12700" b="0"/>
            <wp:docPr id="5" name="Picture 5" descr="http://friendsofalewifereservation.org/2006_Archive/2006_02_ecologicaloverview_normandeauassociates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riendsofalewifereservation.org/2006_Archive/2006_02_ecologicaloverview_normandeauassociates_files/image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6680200"/>
                    </a:xfrm>
                    <a:prstGeom prst="rect">
                      <a:avLst/>
                    </a:prstGeom>
                    <a:noFill/>
                    <a:ln>
                      <a:noFill/>
                    </a:ln>
                  </pic:spPr>
                </pic:pic>
              </a:graphicData>
            </a:graphic>
          </wp:inline>
        </w:drawing>
      </w:r>
    </w:p>
    <w:p w:rsidR="00BC4900" w:rsidRDefault="00BC4900" w:rsidP="00BC4900">
      <w:pPr>
        <w:spacing w:before="100" w:beforeAutospacing="1" w:after="100" w:afterAutospacing="1"/>
        <w:jc w:val="center"/>
        <w:rPr>
          <w:rFonts w:cs="Times New Roman"/>
        </w:rPr>
      </w:pPr>
      <w:r>
        <w:rPr>
          <w:rFonts w:cs="Times New Roman"/>
        </w:rPr>
        <w:t> </w:t>
      </w:r>
    </w:p>
    <w:p w:rsidR="00BC4900" w:rsidRDefault="00BC4900" w:rsidP="00BC4900">
      <w:pPr>
        <w:pStyle w:val="TableofFigures"/>
        <w:rPr>
          <w:rFonts w:cs="Times New Roman"/>
        </w:rPr>
      </w:pPr>
      <w:bookmarkStart w:id="9" w:name="_Toc127080969"/>
      <w:r>
        <w:rPr>
          <w:rFonts w:cs="Times New Roman"/>
        </w:rPr>
        <w:t>Figure 3</w:t>
      </w:r>
      <w:proofErr w:type="gramStart"/>
      <w:r>
        <w:rPr>
          <w:rFonts w:cs="Times New Roman"/>
        </w:rPr>
        <w:t>........</w:t>
      </w:r>
      <w:proofErr w:type="gramEnd"/>
      <w:r>
        <w:rPr>
          <w:rFonts w:cs="Times New Roman"/>
        </w:rPr>
        <w:t xml:space="preserve"> </w:t>
      </w:r>
      <w:proofErr w:type="gramStart"/>
      <w:r>
        <w:rPr>
          <w:rFonts w:cs="Times New Roman"/>
        </w:rPr>
        <w:t>Core area (shaded) for interior-habitat species at Alewife Reservation without Belmont Uplands development (top) and with development (bottom).</w:t>
      </w:r>
      <w:proofErr w:type="gramEnd"/>
      <w:r>
        <w:rPr>
          <w:rFonts w:cs="Times New Roman"/>
        </w:rPr>
        <w:t xml:space="preserve"> Setback from </w:t>
      </w:r>
      <w:proofErr w:type="spellStart"/>
      <w:r>
        <w:rPr>
          <w:rFonts w:cs="Times New Roman"/>
        </w:rPr>
        <w:t>unvegetated</w:t>
      </w:r>
      <w:proofErr w:type="spellEnd"/>
      <w:r>
        <w:rPr>
          <w:rFonts w:cs="Times New Roman"/>
        </w:rPr>
        <w:t xml:space="preserve"> edge</w:t>
      </w:r>
      <w:bookmarkEnd w:id="9"/>
      <w:r>
        <w:rPr>
          <w:rFonts w:cs="Times New Roman"/>
        </w:rPr>
        <w:t xml:space="preserve"> ~ 100 m</w:t>
      </w:r>
      <w:proofErr w:type="gramStart"/>
      <w:r>
        <w:rPr>
          <w:rFonts w:cs="Times New Roman"/>
        </w:rPr>
        <w:t>..</w:t>
      </w:r>
      <w:proofErr w:type="gramEnd"/>
    </w:p>
    <w:p w:rsidR="00BC4900" w:rsidRDefault="00BC4900" w:rsidP="00BC4900">
      <w:pPr>
        <w:spacing w:before="100" w:beforeAutospacing="1" w:after="100" w:afterAutospacing="1"/>
        <w:jc w:val="center"/>
        <w:rPr>
          <w:rFonts w:cs="Times New Roman"/>
        </w:rPr>
      </w:pPr>
      <w:r>
        <w:rPr>
          <w:rFonts w:ascii="Times New Roman" w:eastAsia="Times New Roman" w:hAnsi="Times New Roman" w:cs="Times New Roman"/>
          <w:sz w:val="22"/>
          <w:szCs w:val="22"/>
        </w:rPr>
        <w:br w:type="page"/>
      </w:r>
      <w:r>
        <w:rPr>
          <w:rFonts w:cs="Times New Roman"/>
          <w:noProof/>
        </w:rPr>
        <w:drawing>
          <wp:inline distT="0" distB="0" distL="0" distR="0">
            <wp:extent cx="7340600" cy="9156700"/>
            <wp:effectExtent l="0" t="0" r="0" b="12700"/>
            <wp:docPr id="6" name="Picture 6" descr="http://friendsofalewifereservation.org/2006_Archive/2006_02_ecologicaloverview_normandeauassociates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iendsofalewifereservation.org/2006_Archive/2006_02_ecologicaloverview_normandeauassociates_files/image0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0600" cy="9156700"/>
                    </a:xfrm>
                    <a:prstGeom prst="rect">
                      <a:avLst/>
                    </a:prstGeom>
                    <a:noFill/>
                    <a:ln>
                      <a:noFill/>
                    </a:ln>
                  </pic:spPr>
                </pic:pic>
              </a:graphicData>
            </a:graphic>
          </wp:inline>
        </w:drawing>
      </w:r>
    </w:p>
    <w:p w:rsidR="00BC4900" w:rsidRDefault="00BC4900" w:rsidP="00BC4900">
      <w:pPr>
        <w:pStyle w:val="TableofFigures"/>
        <w:rPr>
          <w:rFonts w:cs="Times New Roman"/>
        </w:rPr>
      </w:pPr>
      <w:bookmarkStart w:id="10" w:name="_Toc127080970"/>
      <w:r>
        <w:rPr>
          <w:rFonts w:cs="Times New Roman"/>
        </w:rPr>
        <w:t>Figure 4</w:t>
      </w:r>
      <w:proofErr w:type="gramStart"/>
      <w:r>
        <w:rPr>
          <w:rFonts w:cs="Times New Roman"/>
        </w:rPr>
        <w:t>........</w:t>
      </w:r>
      <w:proofErr w:type="gramEnd"/>
      <w:r>
        <w:rPr>
          <w:rFonts w:cs="Times New Roman"/>
        </w:rPr>
        <w:t xml:space="preserve"> Recommended terrestrial management area around a vernal pool. </w:t>
      </w:r>
      <w:proofErr w:type="gramStart"/>
      <w:r>
        <w:rPr>
          <w:rFonts w:cs="Times New Roman"/>
        </w:rPr>
        <w:t xml:space="preserve">Illustration from Calhoun and </w:t>
      </w:r>
      <w:proofErr w:type="spellStart"/>
      <w:r>
        <w:rPr>
          <w:rFonts w:cs="Times New Roman"/>
        </w:rPr>
        <w:t>Klemens</w:t>
      </w:r>
      <w:proofErr w:type="spellEnd"/>
      <w:r>
        <w:rPr>
          <w:rFonts w:cs="Times New Roman"/>
        </w:rPr>
        <w:t xml:space="preserve"> (2002).</w:t>
      </w:r>
      <w:bookmarkEnd w:id="10"/>
      <w:proofErr w:type="gramEnd"/>
      <w:r>
        <w:rPr>
          <w:rFonts w:cs="Times New Roman"/>
        </w:rPr>
        <w:t xml:space="preserve"> </w:t>
      </w:r>
    </w:p>
    <w:p w:rsidR="00BC4900" w:rsidRDefault="00BC4900" w:rsidP="00BC4900">
      <w:pPr>
        <w:spacing w:before="100" w:beforeAutospacing="1" w:after="100" w:afterAutospacing="1"/>
        <w:jc w:val="center"/>
        <w:rPr>
          <w:rFonts w:cs="Times New Roman"/>
        </w:rPr>
      </w:pPr>
      <w:r>
        <w:rPr>
          <w:rFonts w:ascii="Times New Roman" w:eastAsia="Times New Roman" w:hAnsi="Times New Roman" w:cs="Times New Roman"/>
          <w:sz w:val="22"/>
          <w:szCs w:val="22"/>
        </w:rPr>
        <w:br w:type="page"/>
      </w:r>
      <w:r>
        <w:rPr>
          <w:rFonts w:cs="Times New Roman"/>
          <w:noProof/>
        </w:rPr>
        <w:drawing>
          <wp:inline distT="0" distB="0" distL="0" distR="0">
            <wp:extent cx="5867400" cy="2832100"/>
            <wp:effectExtent l="0" t="0" r="0" b="12700"/>
            <wp:docPr id="7" name="Picture 7" descr="http://friendsofalewifereservation.org/2006_Archive/2006_02_ecologicaloverview_normandeauassociates_files/image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riendsofalewifereservation.org/2006_Archive/2006_02_ecologicaloverview_normandeauassociates_files/image00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67400" cy="2832100"/>
                    </a:xfrm>
                    <a:prstGeom prst="rect">
                      <a:avLst/>
                    </a:prstGeom>
                    <a:noFill/>
                    <a:ln>
                      <a:noFill/>
                    </a:ln>
                  </pic:spPr>
                </pic:pic>
              </a:graphicData>
            </a:graphic>
          </wp:inline>
        </w:drawing>
      </w:r>
    </w:p>
    <w:p w:rsidR="00BC4900" w:rsidRDefault="00BC4900" w:rsidP="00BC4900">
      <w:pPr>
        <w:pStyle w:val="TableofFigures"/>
        <w:rPr>
          <w:rFonts w:cs="Times New Roman"/>
        </w:rPr>
      </w:pPr>
      <w:bookmarkStart w:id="11" w:name="_Toc127080971"/>
      <w:r>
        <w:rPr>
          <w:rFonts w:cs="Times New Roman"/>
        </w:rPr>
        <w:t>Figure 5</w:t>
      </w:r>
      <w:proofErr w:type="gramStart"/>
      <w:r>
        <w:rPr>
          <w:rFonts w:cs="Times New Roman"/>
        </w:rPr>
        <w:t>........</w:t>
      </w:r>
      <w:proofErr w:type="gramEnd"/>
      <w:r>
        <w:rPr>
          <w:rFonts w:cs="Times New Roman"/>
        </w:rPr>
        <w:t xml:space="preserve"> </w:t>
      </w:r>
      <w:proofErr w:type="gramStart"/>
      <w:r>
        <w:rPr>
          <w:rFonts w:cs="Times New Roman"/>
        </w:rPr>
        <w:t>Relationship to the proposed Belmont Uplands development of two reported vernal pools and their respective 750-foot-diameter terrestrial management areas.</w:t>
      </w:r>
      <w:proofErr w:type="gramEnd"/>
      <w:r>
        <w:rPr>
          <w:rFonts w:cs="Times New Roman"/>
        </w:rPr>
        <w:t xml:space="preserve"> Darkened circles indicate approximate area of State jurisdictional protective buffer zone to be observed around vernal pools. </w:t>
      </w:r>
      <w:bookmarkEnd w:id="11"/>
    </w:p>
    <w:p w:rsidR="00BC4900" w:rsidRDefault="00BC4900" w:rsidP="00BC4900">
      <w:pPr>
        <w:spacing w:before="100" w:beforeAutospacing="1" w:after="100" w:afterAutospacing="1"/>
        <w:rPr>
          <w:rFonts w:cs="Times New Roman"/>
        </w:rPr>
      </w:pPr>
      <w:r>
        <w:rPr>
          <w:rFonts w:cs="Times New Roman"/>
        </w:rPr>
        <w:t> </w:t>
      </w:r>
    </w:p>
    <w:p w:rsidR="00BC4900" w:rsidRDefault="00BC4900" w:rsidP="00BC4900">
      <w:pPr>
        <w:pStyle w:val="BodyText"/>
        <w:rPr>
          <w:rFonts w:cs="Times New Roman"/>
        </w:rPr>
      </w:pPr>
      <w:r>
        <w:rPr>
          <w:rFonts w:cs="Times New Roman"/>
        </w:rPr>
        <w:t xml:space="preserve">The Alewife Reservation is a public place, a refuge of common resort in the democratic tradition of Frederic Law Olmsted and Charles Eliot, albeit tending to the wild side under current dispensation. Its habitat value for species other than our own is manifestly high, in the absence of alternative suitable habitats nearby. To the extent that the Alewife Reservation habitat serves all us animals well, it deserves management to enhance our common stake in it. That means concern for all the remaining open space around it as well: wetland or upland, meadow, marsh, </w:t>
      </w:r>
      <w:proofErr w:type="spellStart"/>
      <w:r>
        <w:rPr>
          <w:rFonts w:cs="Times New Roman"/>
        </w:rPr>
        <w:t>shrubland</w:t>
      </w:r>
      <w:proofErr w:type="spellEnd"/>
      <w:r>
        <w:rPr>
          <w:rFonts w:cs="Times New Roman"/>
        </w:rPr>
        <w:t xml:space="preserve"> or forest. All these parts cohere in ways we must try to understand or at least acknowledge. And we too cohere. The Reservation and environs represent our own vestigial and somewhat </w:t>
      </w:r>
      <w:proofErr w:type="spellStart"/>
      <w:r>
        <w:rPr>
          <w:rFonts w:cs="Times New Roman"/>
        </w:rPr>
        <w:t>ruinate</w:t>
      </w:r>
      <w:proofErr w:type="spellEnd"/>
      <w:r>
        <w:rPr>
          <w:rFonts w:cs="Times New Roman"/>
        </w:rPr>
        <w:t xml:space="preserve"> natural heritage. We must not part with any of it lightly.</w:t>
      </w:r>
    </w:p>
    <w:p w:rsidR="00BC4900" w:rsidRDefault="00BC4900" w:rsidP="00BC4900">
      <w:pPr>
        <w:pStyle w:val="Heading1"/>
        <w:rPr>
          <w:rFonts w:eastAsia="Times New Roman" w:cs="Times New Roman"/>
        </w:rPr>
      </w:pPr>
      <w:bookmarkStart w:id="12" w:name="_Toc127080954"/>
      <w:r>
        <w:rPr>
          <w:rFonts w:eastAsia="Times New Roman" w:cs="Times New Roman"/>
          <w:caps/>
          <w:lang w:val="en-CA"/>
        </w:rPr>
        <w:t xml:space="preserve">4.0 References Cited and Reviewed (incomplete as of </w:t>
      </w:r>
      <w:bookmarkEnd w:id="12"/>
      <w:r>
        <w:rPr>
          <w:rFonts w:eastAsia="Times New Roman" w:cs="Times New Roman"/>
          <w:caps/>
          <w:lang w:val="en-CA"/>
        </w:rPr>
        <w:t>7 Feb. 2006)</w:t>
      </w:r>
    </w:p>
    <w:p w:rsidR="00BC4900" w:rsidRDefault="00BC4900" w:rsidP="00BC4900">
      <w:pPr>
        <w:pStyle w:val="Bibliography"/>
        <w:rPr>
          <w:rFonts w:cs="Times New Roman"/>
        </w:rPr>
      </w:pPr>
      <w:r>
        <w:rPr>
          <w:rFonts w:cs="Times New Roman"/>
        </w:rPr>
        <w:t>AP Cambridge Partners II, LLC (2005-December 6) Comprehensive Permit Application, Town of Belmont, Zoning Board of Appeals.</w:t>
      </w:r>
    </w:p>
    <w:p w:rsidR="00BC4900" w:rsidRDefault="00BC4900" w:rsidP="00BC4900">
      <w:pPr>
        <w:pStyle w:val="Bibliography"/>
        <w:rPr>
          <w:rFonts w:cs="Times New Roman"/>
        </w:rPr>
      </w:pPr>
      <w:r>
        <w:rPr>
          <w:rFonts w:cs="Times New Roman"/>
        </w:rPr>
        <w:t xml:space="preserve">Belmont Conservation Commission (2006-January 18). </w:t>
      </w:r>
      <w:proofErr w:type="gramStart"/>
      <w:r>
        <w:rPr>
          <w:rFonts w:cs="Times New Roman"/>
        </w:rPr>
        <w:t>Letter to Friends of Alewife Reservation from Miriam W. Weil.</w:t>
      </w:r>
      <w:proofErr w:type="gramEnd"/>
    </w:p>
    <w:p w:rsidR="00BC4900" w:rsidRDefault="00BC4900" w:rsidP="00BC4900">
      <w:pPr>
        <w:pStyle w:val="Bibliography"/>
        <w:rPr>
          <w:rFonts w:cs="Times New Roman"/>
        </w:rPr>
      </w:pPr>
      <w:r>
        <w:rPr>
          <w:rFonts w:cs="Times New Roman"/>
        </w:rPr>
        <w:t xml:space="preserve">Cambridge Discovery Park (undated). </w:t>
      </w:r>
      <w:proofErr w:type="gramStart"/>
      <w:r>
        <w:rPr>
          <w:rFonts w:cs="Times New Roman"/>
        </w:rPr>
        <w:t>Miscellaneous aerial photographs.</w:t>
      </w:r>
      <w:proofErr w:type="gramEnd"/>
    </w:p>
    <w:p w:rsidR="00BC4900" w:rsidRDefault="00BC4900" w:rsidP="00BC4900">
      <w:pPr>
        <w:pStyle w:val="Bibliography"/>
        <w:rPr>
          <w:rFonts w:cs="Times New Roman"/>
        </w:rPr>
      </w:pPr>
      <w:r>
        <w:rPr>
          <w:rFonts w:cs="Times New Roman"/>
        </w:rPr>
        <w:t xml:space="preserve">City of Cambridge (2002-July 30) Comments on Environmental Notification Form, Frontage Road Office Center, Belmont, EOEA No. 12376R, in letter to Bob Durand (EOEA) from R. W. Healy. </w:t>
      </w:r>
    </w:p>
    <w:p w:rsidR="00BC4900" w:rsidRDefault="00BC4900" w:rsidP="00BC4900">
      <w:pPr>
        <w:pStyle w:val="Bibliography"/>
        <w:rPr>
          <w:rFonts w:cs="Times New Roman"/>
        </w:rPr>
      </w:pPr>
      <w:proofErr w:type="gramStart"/>
      <w:r>
        <w:rPr>
          <w:rFonts w:cs="Times New Roman"/>
        </w:rPr>
        <w:t>EOEA (2002) Certificate of the Secretary of Environmental Affairs on the Environmental Notification Form.</w:t>
      </w:r>
      <w:proofErr w:type="gramEnd"/>
      <w:r>
        <w:rPr>
          <w:rFonts w:cs="Times New Roman"/>
        </w:rPr>
        <w:t xml:space="preserve"> </w:t>
      </w:r>
      <w:proofErr w:type="gramStart"/>
      <w:r>
        <w:rPr>
          <w:rFonts w:cs="Times New Roman"/>
        </w:rPr>
        <w:t>Executive Office of Environmental Affairs, Boston, Massachusetts.</w:t>
      </w:r>
      <w:proofErr w:type="gramEnd"/>
    </w:p>
    <w:p w:rsidR="00BC4900" w:rsidRDefault="00BC4900" w:rsidP="00BC4900">
      <w:pPr>
        <w:pStyle w:val="Bibliography"/>
        <w:rPr>
          <w:rFonts w:cs="Times New Roman"/>
        </w:rPr>
      </w:pPr>
      <w:r>
        <w:rPr>
          <w:rFonts w:cs="Times New Roman"/>
        </w:rPr>
        <w:t>Epsilon Associates, Inc. (2001-September 5) Open space management plan, Belmont Uplands site. Maynard, Massachusetts.</w:t>
      </w:r>
    </w:p>
    <w:p w:rsidR="00BC4900" w:rsidRDefault="00BC4900" w:rsidP="00BC4900">
      <w:pPr>
        <w:pStyle w:val="Bibliography"/>
        <w:rPr>
          <w:rFonts w:cs="Times New Roman"/>
        </w:rPr>
      </w:pPr>
      <w:r>
        <w:rPr>
          <w:rFonts w:cs="Times New Roman"/>
        </w:rPr>
        <w:t>Epsilon Associates, Inc. (2003-August 15) Belmont Office/R &amp; D Building Final Environmental Impact Report, EOEA #12376R. Maynard, Massachusetts.</w:t>
      </w:r>
    </w:p>
    <w:p w:rsidR="00BC4900" w:rsidRDefault="00BC4900" w:rsidP="00BC4900">
      <w:pPr>
        <w:pStyle w:val="Bibliography"/>
        <w:rPr>
          <w:rFonts w:cs="Times New Roman"/>
        </w:rPr>
      </w:pPr>
      <w:r>
        <w:rPr>
          <w:rFonts w:cs="Times New Roman"/>
        </w:rPr>
        <w:t xml:space="preserve">Epsilon Associates, Inc. </w:t>
      </w:r>
      <w:proofErr w:type="gramStart"/>
      <w:r>
        <w:rPr>
          <w:rFonts w:cs="Times New Roman"/>
        </w:rPr>
        <w:t>( ?</w:t>
      </w:r>
      <w:proofErr w:type="gramEnd"/>
      <w:r>
        <w:rPr>
          <w:rFonts w:cs="Times New Roman"/>
        </w:rPr>
        <w:t xml:space="preserve"> ) </w:t>
      </w:r>
      <w:proofErr w:type="gramStart"/>
      <w:r>
        <w:rPr>
          <w:rFonts w:cs="Times New Roman"/>
        </w:rPr>
        <w:t>Response to comments on Final Environmental Impact Report.</w:t>
      </w:r>
      <w:proofErr w:type="gramEnd"/>
    </w:p>
    <w:p w:rsidR="00BC4900" w:rsidRDefault="00BC4900" w:rsidP="00BC4900">
      <w:pPr>
        <w:pStyle w:val="Bibliography"/>
        <w:rPr>
          <w:rFonts w:cs="Times New Roman"/>
        </w:rPr>
      </w:pPr>
      <w:r>
        <w:rPr>
          <w:rFonts w:cs="Times New Roman"/>
        </w:rPr>
        <w:t xml:space="preserve">Friends of Alewife Reservation (2004) Biodiversity study of Alewife Reservation Area: species, </w:t>
      </w:r>
      <w:proofErr w:type="spellStart"/>
      <w:r>
        <w:rPr>
          <w:rFonts w:cs="Times New Roman"/>
        </w:rPr>
        <w:t>habitat</w:t>
      </w:r>
      <w:proofErr w:type="gramStart"/>
      <w:r>
        <w:rPr>
          <w:rFonts w:cs="Times New Roman"/>
        </w:rPr>
        <w:t>,and</w:t>
      </w:r>
      <w:proofErr w:type="spellEnd"/>
      <w:proofErr w:type="gramEnd"/>
      <w:r>
        <w:rPr>
          <w:rFonts w:cs="Times New Roman"/>
        </w:rPr>
        <w:t xml:space="preserve"> ecosystems. </w:t>
      </w:r>
      <w:proofErr w:type="gramStart"/>
      <w:r>
        <w:rPr>
          <w:rFonts w:cs="Times New Roman"/>
        </w:rPr>
        <w:t>Friends of Alewife Reservation, Cambridge, Massachusetts.</w:t>
      </w:r>
      <w:proofErr w:type="gramEnd"/>
    </w:p>
    <w:p w:rsidR="00BC4900" w:rsidRDefault="00BC4900" w:rsidP="00BC4900">
      <w:pPr>
        <w:pStyle w:val="Bibliography"/>
        <w:rPr>
          <w:rFonts w:cs="Times New Roman"/>
        </w:rPr>
      </w:pPr>
      <w:proofErr w:type="gramStart"/>
      <w:r>
        <w:rPr>
          <w:rFonts w:cs="Times New Roman"/>
        </w:rPr>
        <w:t>Friends of Alewife Reservation (2006) Website publications and information links.</w:t>
      </w:r>
      <w:proofErr w:type="gramEnd"/>
    </w:p>
    <w:p w:rsidR="00BC4900" w:rsidRDefault="00BC4900" w:rsidP="00BC4900">
      <w:pPr>
        <w:pStyle w:val="Bibliography"/>
        <w:rPr>
          <w:rFonts w:cs="Times New Roman"/>
        </w:rPr>
      </w:pPr>
      <w:proofErr w:type="gramStart"/>
      <w:r>
        <w:rPr>
          <w:rFonts w:cs="Times New Roman"/>
        </w:rPr>
        <w:t>Kaiser, S. H. (2005-March) Map book of wetlands and floodplain areas at Little River and Alewife Brook in Arlington, Belmont and Cambridge.</w:t>
      </w:r>
      <w:proofErr w:type="gramEnd"/>
    </w:p>
    <w:p w:rsidR="00BC4900" w:rsidRDefault="00BC4900" w:rsidP="00BC4900">
      <w:pPr>
        <w:pStyle w:val="Bibliography"/>
        <w:rPr>
          <w:rFonts w:cs="Times New Roman"/>
        </w:rPr>
      </w:pPr>
      <w:proofErr w:type="spellStart"/>
      <w:r>
        <w:rPr>
          <w:rFonts w:cs="Times New Roman"/>
        </w:rPr>
        <w:t>Katuska</w:t>
      </w:r>
      <w:proofErr w:type="spellEnd"/>
      <w:r>
        <w:rPr>
          <w:rFonts w:cs="Times New Roman"/>
        </w:rPr>
        <w:t xml:space="preserve">, C. J. (2003) Forest characterization report: Little Pond/Little River, Belmont/Cambridge, </w:t>
      </w:r>
      <w:proofErr w:type="gramStart"/>
      <w:r>
        <w:rPr>
          <w:rFonts w:cs="Times New Roman"/>
        </w:rPr>
        <w:t>Massachusetts</w:t>
      </w:r>
      <w:proofErr w:type="gramEnd"/>
      <w:r>
        <w:rPr>
          <w:rFonts w:cs="Times New Roman"/>
        </w:rPr>
        <w:t xml:space="preserve">. </w:t>
      </w:r>
    </w:p>
    <w:p w:rsidR="00BC4900" w:rsidRDefault="00BC4900" w:rsidP="00BC4900">
      <w:pPr>
        <w:pStyle w:val="Bibliography"/>
        <w:rPr>
          <w:rFonts w:cs="Times New Roman"/>
        </w:rPr>
      </w:pPr>
      <w:proofErr w:type="spellStart"/>
      <w:proofErr w:type="gramStart"/>
      <w:r>
        <w:rPr>
          <w:rFonts w:cs="Times New Roman"/>
        </w:rPr>
        <w:t>Katuska</w:t>
      </w:r>
      <w:proofErr w:type="spellEnd"/>
      <w:r>
        <w:rPr>
          <w:rFonts w:cs="Times New Roman"/>
        </w:rPr>
        <w:t>, C. J. (2003-November 25) Presentation to Belmont Planning Board on the functions and values of the Belmont Uplands project site.</w:t>
      </w:r>
      <w:proofErr w:type="gramEnd"/>
      <w:r>
        <w:rPr>
          <w:rFonts w:cs="Times New Roman"/>
        </w:rPr>
        <w:t xml:space="preserve"> </w:t>
      </w:r>
    </w:p>
    <w:p w:rsidR="00BC4900" w:rsidRDefault="00BC4900" w:rsidP="00BC4900">
      <w:pPr>
        <w:pStyle w:val="Bibliography"/>
        <w:rPr>
          <w:rFonts w:cs="Times New Roman"/>
        </w:rPr>
      </w:pPr>
      <w:proofErr w:type="spellStart"/>
      <w:r>
        <w:rPr>
          <w:rFonts w:cs="Times New Roman"/>
        </w:rPr>
        <w:t>Katuska</w:t>
      </w:r>
      <w:proofErr w:type="spellEnd"/>
      <w:r>
        <w:rPr>
          <w:rFonts w:cs="Times New Roman"/>
        </w:rPr>
        <w:t xml:space="preserve">, C. J. (2004-February 2) Project impact calculations: Belmont Uplands project (Belmont Office/R &amp; D Building), Acorn Park Drive, Belmont/Cambridge. </w:t>
      </w:r>
      <w:proofErr w:type="gramStart"/>
      <w:r>
        <w:rPr>
          <w:rFonts w:cs="Times New Roman"/>
        </w:rPr>
        <w:t>Memo to Friends of Alewife Reservation and Belmont Citizens’ Forum.</w:t>
      </w:r>
      <w:proofErr w:type="gramEnd"/>
      <w:r>
        <w:rPr>
          <w:rFonts w:cs="Times New Roman"/>
        </w:rPr>
        <w:t xml:space="preserve"> </w:t>
      </w:r>
    </w:p>
    <w:p w:rsidR="00BC4900" w:rsidRDefault="00BC4900" w:rsidP="00BC4900">
      <w:pPr>
        <w:pStyle w:val="Bibliography"/>
        <w:rPr>
          <w:rFonts w:cs="Times New Roman"/>
        </w:rPr>
      </w:pPr>
      <w:proofErr w:type="gramStart"/>
      <w:r>
        <w:rPr>
          <w:rFonts w:cs="Times New Roman"/>
        </w:rPr>
        <w:t>Massachusetts Historical Commission (2002-July 19) Letter to Bob Durand, Secretary, Executive Office of Environmental Affairs, from Eric S. Johnson.</w:t>
      </w:r>
      <w:proofErr w:type="gramEnd"/>
    </w:p>
    <w:p w:rsidR="00BC4900" w:rsidRDefault="00BC4900" w:rsidP="00BC4900">
      <w:pPr>
        <w:pStyle w:val="Bibliography"/>
        <w:rPr>
          <w:rFonts w:cs="Times New Roman"/>
        </w:rPr>
      </w:pPr>
      <w:proofErr w:type="gramStart"/>
      <w:r>
        <w:rPr>
          <w:rFonts w:cs="Times New Roman"/>
        </w:rPr>
        <w:t>MDC (1999-December) Blair Pond Master Plan, Cambridge and Belmont, Massachusetts.</w:t>
      </w:r>
      <w:proofErr w:type="gramEnd"/>
      <w:r>
        <w:rPr>
          <w:rFonts w:cs="Times New Roman"/>
        </w:rPr>
        <w:t xml:space="preserve"> Metropolitan District Commission, Boston, Massachusetts.</w:t>
      </w:r>
    </w:p>
    <w:p w:rsidR="00BC4900" w:rsidRDefault="00BC4900" w:rsidP="00BC4900">
      <w:pPr>
        <w:pStyle w:val="Bibliography"/>
        <w:rPr>
          <w:rFonts w:cs="Times New Roman"/>
        </w:rPr>
      </w:pPr>
      <w:proofErr w:type="gramStart"/>
      <w:r>
        <w:rPr>
          <w:rFonts w:cs="Times New Roman"/>
        </w:rPr>
        <w:t>MDC (2003-June) Alewife Reservation and Alewife Brook Master Plan.</w:t>
      </w:r>
      <w:proofErr w:type="gramEnd"/>
      <w:r>
        <w:rPr>
          <w:rFonts w:cs="Times New Roman"/>
        </w:rPr>
        <w:t xml:space="preserve"> Metropolitan District Commission, Boston, Massachusetts.</w:t>
      </w:r>
    </w:p>
    <w:p w:rsidR="00BC4900" w:rsidRDefault="00BC4900" w:rsidP="00BC4900">
      <w:pPr>
        <w:pStyle w:val="Bibliography"/>
        <w:rPr>
          <w:rFonts w:cs="Times New Roman"/>
        </w:rPr>
      </w:pPr>
      <w:r>
        <w:rPr>
          <w:rFonts w:cs="Times New Roman"/>
        </w:rPr>
        <w:t xml:space="preserve">NHESP (2001) </w:t>
      </w:r>
      <w:proofErr w:type="spellStart"/>
      <w:r>
        <w:rPr>
          <w:rFonts w:cs="Times New Roman"/>
        </w:rPr>
        <w:t>BioMap</w:t>
      </w:r>
      <w:proofErr w:type="spellEnd"/>
      <w:r>
        <w:rPr>
          <w:rFonts w:cs="Times New Roman"/>
        </w:rPr>
        <w:t>: Guiding land conservation for biodiversity in Massachusetts. Natural Heritage and Endangered Species Program, Westborough, Massachusetts.</w:t>
      </w:r>
    </w:p>
    <w:p w:rsidR="00BC4900" w:rsidRDefault="00BC4900" w:rsidP="00BC4900">
      <w:pPr>
        <w:pStyle w:val="Bibliography"/>
        <w:rPr>
          <w:rFonts w:cs="Times New Roman"/>
        </w:rPr>
      </w:pPr>
      <w:proofErr w:type="gramStart"/>
      <w:r>
        <w:rPr>
          <w:rFonts w:cs="Times New Roman"/>
        </w:rPr>
        <w:t>NHESP (2002-November 7) Letter to Ellen Mass from Patricia Swain.</w:t>
      </w:r>
      <w:proofErr w:type="gramEnd"/>
      <w:r>
        <w:rPr>
          <w:rFonts w:cs="Times New Roman"/>
        </w:rPr>
        <w:t xml:space="preserve"> </w:t>
      </w:r>
      <w:proofErr w:type="gramStart"/>
      <w:r>
        <w:rPr>
          <w:rFonts w:cs="Times New Roman"/>
        </w:rPr>
        <w:t>Massachusetts Division of Fish and Wildlife, Westborough, Massachusetts.</w:t>
      </w:r>
      <w:proofErr w:type="gramEnd"/>
    </w:p>
    <w:p w:rsidR="00BC4900" w:rsidRDefault="00BC4900" w:rsidP="00BC4900">
      <w:pPr>
        <w:pStyle w:val="Bibliography"/>
        <w:rPr>
          <w:rFonts w:cs="Times New Roman"/>
        </w:rPr>
      </w:pPr>
      <w:r>
        <w:rPr>
          <w:rFonts w:cs="Times New Roman"/>
        </w:rPr>
        <w:t xml:space="preserve">Rizzo Associates </w:t>
      </w:r>
      <w:proofErr w:type="gramStart"/>
      <w:r>
        <w:rPr>
          <w:rFonts w:cs="Times New Roman"/>
        </w:rPr>
        <w:t>( ?</w:t>
      </w:r>
      <w:proofErr w:type="gramEnd"/>
      <w:r>
        <w:rPr>
          <w:rFonts w:cs="Times New Roman"/>
        </w:rPr>
        <w:t xml:space="preserve"> ) </w:t>
      </w:r>
      <w:proofErr w:type="gramStart"/>
      <w:r>
        <w:rPr>
          <w:rFonts w:cs="Times New Roman"/>
        </w:rPr>
        <w:t>Environmental Impact Report.</w:t>
      </w:r>
      <w:proofErr w:type="gramEnd"/>
      <w:r>
        <w:rPr>
          <w:rFonts w:cs="Times New Roman"/>
        </w:rPr>
        <w:t xml:space="preserve"> Framingham, Massachusetts.</w:t>
      </w:r>
    </w:p>
    <w:p w:rsidR="00BC4900" w:rsidRDefault="00BC4900" w:rsidP="00BC4900">
      <w:pPr>
        <w:pStyle w:val="Bibliography"/>
        <w:rPr>
          <w:rFonts w:cs="Times New Roman"/>
        </w:rPr>
      </w:pPr>
      <w:r>
        <w:rPr>
          <w:rFonts w:cs="Times New Roman"/>
        </w:rPr>
        <w:t xml:space="preserve">Sanders, S. (1994) An Alewife area ecology guide. </w:t>
      </w:r>
      <w:proofErr w:type="gramStart"/>
      <w:r>
        <w:rPr>
          <w:rFonts w:cs="Times New Roman"/>
        </w:rPr>
        <w:t>Mystic River Watershed Association, Arlington, Massachusetts.</w:t>
      </w:r>
      <w:proofErr w:type="gramEnd"/>
    </w:p>
    <w:p w:rsidR="00BC4900" w:rsidRDefault="00BC4900" w:rsidP="00BC4900">
      <w:pPr>
        <w:pStyle w:val="Bibliography"/>
        <w:rPr>
          <w:rFonts w:cs="Times New Roman"/>
        </w:rPr>
      </w:pPr>
      <w:r>
        <w:rPr>
          <w:rFonts w:cs="Times New Roman"/>
        </w:rPr>
        <w:t xml:space="preserve">Stark, D. J. (2003-June 3) Memorandum reporting certifiable vernal-pool activity (20 March 2003) abutting Belmont Uplands project property, with supporting documentation. </w:t>
      </w:r>
      <w:proofErr w:type="gramStart"/>
      <w:r>
        <w:rPr>
          <w:rFonts w:cs="Times New Roman"/>
        </w:rPr>
        <w:t>Environmental Technology Program, Minuteman Regional High School, Lexington, Massachusetts.</w:t>
      </w:r>
      <w:proofErr w:type="gramEnd"/>
    </w:p>
    <w:p w:rsidR="008D6CE9" w:rsidRDefault="008D6CE9" w:rsidP="00BC4900">
      <w:pPr>
        <w:ind w:left="-1260"/>
      </w:pPr>
    </w:p>
    <w:sectPr w:rsidR="008D6CE9" w:rsidSect="00BC4900">
      <w:pgSz w:w="12240" w:h="15840"/>
      <w:pgMar w:top="0" w:right="54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00"/>
    <w:rsid w:val="003F32E7"/>
    <w:rsid w:val="00874CDB"/>
    <w:rsid w:val="008D6CE9"/>
    <w:rsid w:val="00BC4900"/>
    <w:rsid w:val="00EE7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490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C490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C4900"/>
    <w:pPr>
      <w:spacing w:before="100" w:beforeAutospacing="1" w:after="100" w:afterAutospacing="1"/>
      <w:outlineLvl w:val="3"/>
    </w:pPr>
    <w:rPr>
      <w:rFonts w:ascii="Times" w:hAnsi="Times"/>
      <w:b/>
      <w:bCs/>
    </w:rPr>
  </w:style>
  <w:style w:type="paragraph" w:styleId="Heading8">
    <w:name w:val="heading 8"/>
    <w:basedOn w:val="Normal"/>
    <w:link w:val="Heading8Char"/>
    <w:uiPriority w:val="9"/>
    <w:qFormat/>
    <w:rsid w:val="00BC4900"/>
    <w:pPr>
      <w:spacing w:before="100" w:beforeAutospacing="1" w:after="100" w:afterAutospacing="1"/>
      <w:outlineLvl w:val="7"/>
    </w:pPr>
    <w:rPr>
      <w:rFonts w:ascii="Times" w:hAnsi="Times"/>
      <w:sz w:val="20"/>
      <w:szCs w:val="20"/>
    </w:rPr>
  </w:style>
  <w:style w:type="paragraph" w:styleId="Heading9">
    <w:name w:val="heading 9"/>
    <w:basedOn w:val="Normal"/>
    <w:link w:val="Heading9Char"/>
    <w:uiPriority w:val="9"/>
    <w:qFormat/>
    <w:rsid w:val="00BC4900"/>
    <w:pPr>
      <w:spacing w:before="100" w:beforeAutospacing="1" w:after="100" w:afterAutospacing="1"/>
      <w:outlineLvl w:val="8"/>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BC4900"/>
  </w:style>
  <w:style w:type="character" w:customStyle="1" w:styleId="Heading1Char">
    <w:name w:val="Heading 1 Char"/>
    <w:basedOn w:val="DefaultParagraphFont"/>
    <w:link w:val="Heading1"/>
    <w:uiPriority w:val="9"/>
    <w:rsid w:val="00BC4900"/>
    <w:rPr>
      <w:rFonts w:ascii="Times" w:hAnsi="Times"/>
      <w:b/>
      <w:bCs/>
      <w:kern w:val="36"/>
      <w:sz w:val="48"/>
      <w:szCs w:val="48"/>
    </w:rPr>
  </w:style>
  <w:style w:type="character" w:customStyle="1" w:styleId="Heading2Char">
    <w:name w:val="Heading 2 Char"/>
    <w:basedOn w:val="DefaultParagraphFont"/>
    <w:link w:val="Heading2"/>
    <w:uiPriority w:val="9"/>
    <w:rsid w:val="00BC4900"/>
    <w:rPr>
      <w:rFonts w:ascii="Times" w:hAnsi="Times"/>
      <w:b/>
      <w:bCs/>
      <w:sz w:val="36"/>
      <w:szCs w:val="36"/>
    </w:rPr>
  </w:style>
  <w:style w:type="character" w:customStyle="1" w:styleId="Heading4Char">
    <w:name w:val="Heading 4 Char"/>
    <w:basedOn w:val="DefaultParagraphFont"/>
    <w:link w:val="Heading4"/>
    <w:uiPriority w:val="9"/>
    <w:rsid w:val="00BC4900"/>
    <w:rPr>
      <w:rFonts w:ascii="Times" w:hAnsi="Times"/>
      <w:b/>
      <w:bCs/>
    </w:rPr>
  </w:style>
  <w:style w:type="character" w:customStyle="1" w:styleId="Heading8Char">
    <w:name w:val="Heading 8 Char"/>
    <w:basedOn w:val="DefaultParagraphFont"/>
    <w:link w:val="Heading8"/>
    <w:uiPriority w:val="9"/>
    <w:rsid w:val="00BC4900"/>
    <w:rPr>
      <w:rFonts w:ascii="Times" w:hAnsi="Times"/>
      <w:sz w:val="20"/>
      <w:szCs w:val="20"/>
    </w:rPr>
  </w:style>
  <w:style w:type="character" w:customStyle="1" w:styleId="Heading9Char">
    <w:name w:val="Heading 9 Char"/>
    <w:basedOn w:val="DefaultParagraphFont"/>
    <w:link w:val="Heading9"/>
    <w:uiPriority w:val="9"/>
    <w:rsid w:val="00BC4900"/>
    <w:rPr>
      <w:rFonts w:ascii="Times" w:hAnsi="Times"/>
      <w:sz w:val="20"/>
      <w:szCs w:val="20"/>
    </w:rPr>
  </w:style>
  <w:style w:type="paragraph" w:customStyle="1" w:styleId="appendix">
    <w:name w:val="appendix"/>
    <w:basedOn w:val="Normal"/>
    <w:rsid w:val="00BC4900"/>
    <w:pPr>
      <w:spacing w:before="100" w:beforeAutospacing="1" w:after="100" w:afterAutospacing="1"/>
    </w:pPr>
    <w:rPr>
      <w:rFonts w:ascii="Times" w:hAnsi="Times"/>
      <w:sz w:val="20"/>
      <w:szCs w:val="20"/>
    </w:rPr>
  </w:style>
  <w:style w:type="paragraph" w:styleId="TOC1">
    <w:name w:val="toc 1"/>
    <w:basedOn w:val="Normal"/>
    <w:autoRedefine/>
    <w:uiPriority w:val="39"/>
    <w:semiHidden/>
    <w:unhideWhenUsed/>
    <w:rsid w:val="00BC4900"/>
    <w:pPr>
      <w:spacing w:before="100" w:beforeAutospacing="1" w:after="100" w:afterAutospacing="1"/>
    </w:pPr>
    <w:rPr>
      <w:rFonts w:ascii="Times" w:hAnsi="Times"/>
      <w:sz w:val="20"/>
      <w:szCs w:val="20"/>
    </w:rPr>
  </w:style>
  <w:style w:type="paragraph" w:styleId="TOC2">
    <w:name w:val="toc 2"/>
    <w:basedOn w:val="Normal"/>
    <w:autoRedefine/>
    <w:uiPriority w:val="39"/>
    <w:semiHidden/>
    <w:unhideWhenUsed/>
    <w:rsid w:val="00BC4900"/>
    <w:pPr>
      <w:spacing w:before="100" w:beforeAutospacing="1" w:after="100" w:afterAutospacing="1"/>
    </w:pPr>
    <w:rPr>
      <w:rFonts w:ascii="Times" w:hAnsi="Times"/>
      <w:sz w:val="20"/>
      <w:szCs w:val="20"/>
    </w:rPr>
  </w:style>
  <w:style w:type="paragraph" w:styleId="TableofFigures">
    <w:name w:val="table of figures"/>
    <w:basedOn w:val="Normal"/>
    <w:uiPriority w:val="99"/>
    <w:semiHidden/>
    <w:unhideWhenUsed/>
    <w:rsid w:val="00BC4900"/>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BC4900"/>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BC4900"/>
    <w:rPr>
      <w:rFonts w:ascii="Times" w:hAnsi="Times"/>
      <w:sz w:val="20"/>
      <w:szCs w:val="20"/>
    </w:rPr>
  </w:style>
  <w:style w:type="paragraph" w:styleId="BalloonText">
    <w:name w:val="Balloon Text"/>
    <w:basedOn w:val="Normal"/>
    <w:link w:val="BalloonTextChar"/>
    <w:uiPriority w:val="99"/>
    <w:semiHidden/>
    <w:unhideWhenUsed/>
    <w:rsid w:val="00BC4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90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C4900"/>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BC4900"/>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BC4900"/>
    <w:pPr>
      <w:spacing w:before="100" w:beforeAutospacing="1" w:after="100" w:afterAutospacing="1"/>
      <w:outlineLvl w:val="3"/>
    </w:pPr>
    <w:rPr>
      <w:rFonts w:ascii="Times" w:hAnsi="Times"/>
      <w:b/>
      <w:bCs/>
    </w:rPr>
  </w:style>
  <w:style w:type="paragraph" w:styleId="Heading8">
    <w:name w:val="heading 8"/>
    <w:basedOn w:val="Normal"/>
    <w:link w:val="Heading8Char"/>
    <w:uiPriority w:val="9"/>
    <w:qFormat/>
    <w:rsid w:val="00BC4900"/>
    <w:pPr>
      <w:spacing w:before="100" w:beforeAutospacing="1" w:after="100" w:afterAutospacing="1"/>
      <w:outlineLvl w:val="7"/>
    </w:pPr>
    <w:rPr>
      <w:rFonts w:ascii="Times" w:hAnsi="Times"/>
      <w:sz w:val="20"/>
      <w:szCs w:val="20"/>
    </w:rPr>
  </w:style>
  <w:style w:type="paragraph" w:styleId="Heading9">
    <w:name w:val="heading 9"/>
    <w:basedOn w:val="Normal"/>
    <w:link w:val="Heading9Char"/>
    <w:uiPriority w:val="9"/>
    <w:qFormat/>
    <w:rsid w:val="00BC4900"/>
    <w:pPr>
      <w:spacing w:before="100" w:beforeAutospacing="1" w:after="100" w:afterAutospacing="1"/>
      <w:outlineLvl w:val="8"/>
    </w:pPr>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BC4900"/>
  </w:style>
  <w:style w:type="character" w:customStyle="1" w:styleId="Heading1Char">
    <w:name w:val="Heading 1 Char"/>
    <w:basedOn w:val="DefaultParagraphFont"/>
    <w:link w:val="Heading1"/>
    <w:uiPriority w:val="9"/>
    <w:rsid w:val="00BC4900"/>
    <w:rPr>
      <w:rFonts w:ascii="Times" w:hAnsi="Times"/>
      <w:b/>
      <w:bCs/>
      <w:kern w:val="36"/>
      <w:sz w:val="48"/>
      <w:szCs w:val="48"/>
    </w:rPr>
  </w:style>
  <w:style w:type="character" w:customStyle="1" w:styleId="Heading2Char">
    <w:name w:val="Heading 2 Char"/>
    <w:basedOn w:val="DefaultParagraphFont"/>
    <w:link w:val="Heading2"/>
    <w:uiPriority w:val="9"/>
    <w:rsid w:val="00BC4900"/>
    <w:rPr>
      <w:rFonts w:ascii="Times" w:hAnsi="Times"/>
      <w:b/>
      <w:bCs/>
      <w:sz w:val="36"/>
      <w:szCs w:val="36"/>
    </w:rPr>
  </w:style>
  <w:style w:type="character" w:customStyle="1" w:styleId="Heading4Char">
    <w:name w:val="Heading 4 Char"/>
    <w:basedOn w:val="DefaultParagraphFont"/>
    <w:link w:val="Heading4"/>
    <w:uiPriority w:val="9"/>
    <w:rsid w:val="00BC4900"/>
    <w:rPr>
      <w:rFonts w:ascii="Times" w:hAnsi="Times"/>
      <w:b/>
      <w:bCs/>
    </w:rPr>
  </w:style>
  <w:style w:type="character" w:customStyle="1" w:styleId="Heading8Char">
    <w:name w:val="Heading 8 Char"/>
    <w:basedOn w:val="DefaultParagraphFont"/>
    <w:link w:val="Heading8"/>
    <w:uiPriority w:val="9"/>
    <w:rsid w:val="00BC4900"/>
    <w:rPr>
      <w:rFonts w:ascii="Times" w:hAnsi="Times"/>
      <w:sz w:val="20"/>
      <w:szCs w:val="20"/>
    </w:rPr>
  </w:style>
  <w:style w:type="character" w:customStyle="1" w:styleId="Heading9Char">
    <w:name w:val="Heading 9 Char"/>
    <w:basedOn w:val="DefaultParagraphFont"/>
    <w:link w:val="Heading9"/>
    <w:uiPriority w:val="9"/>
    <w:rsid w:val="00BC4900"/>
    <w:rPr>
      <w:rFonts w:ascii="Times" w:hAnsi="Times"/>
      <w:sz w:val="20"/>
      <w:szCs w:val="20"/>
    </w:rPr>
  </w:style>
  <w:style w:type="paragraph" w:customStyle="1" w:styleId="appendix">
    <w:name w:val="appendix"/>
    <w:basedOn w:val="Normal"/>
    <w:rsid w:val="00BC4900"/>
    <w:pPr>
      <w:spacing w:before="100" w:beforeAutospacing="1" w:after="100" w:afterAutospacing="1"/>
    </w:pPr>
    <w:rPr>
      <w:rFonts w:ascii="Times" w:hAnsi="Times"/>
      <w:sz w:val="20"/>
      <w:szCs w:val="20"/>
    </w:rPr>
  </w:style>
  <w:style w:type="paragraph" w:styleId="TOC1">
    <w:name w:val="toc 1"/>
    <w:basedOn w:val="Normal"/>
    <w:autoRedefine/>
    <w:uiPriority w:val="39"/>
    <w:semiHidden/>
    <w:unhideWhenUsed/>
    <w:rsid w:val="00BC4900"/>
    <w:pPr>
      <w:spacing w:before="100" w:beforeAutospacing="1" w:after="100" w:afterAutospacing="1"/>
    </w:pPr>
    <w:rPr>
      <w:rFonts w:ascii="Times" w:hAnsi="Times"/>
      <w:sz w:val="20"/>
      <w:szCs w:val="20"/>
    </w:rPr>
  </w:style>
  <w:style w:type="paragraph" w:styleId="TOC2">
    <w:name w:val="toc 2"/>
    <w:basedOn w:val="Normal"/>
    <w:autoRedefine/>
    <w:uiPriority w:val="39"/>
    <w:semiHidden/>
    <w:unhideWhenUsed/>
    <w:rsid w:val="00BC4900"/>
    <w:pPr>
      <w:spacing w:before="100" w:beforeAutospacing="1" w:after="100" w:afterAutospacing="1"/>
    </w:pPr>
    <w:rPr>
      <w:rFonts w:ascii="Times" w:hAnsi="Times"/>
      <w:sz w:val="20"/>
      <w:szCs w:val="20"/>
    </w:rPr>
  </w:style>
  <w:style w:type="paragraph" w:styleId="TableofFigures">
    <w:name w:val="table of figures"/>
    <w:basedOn w:val="Normal"/>
    <w:uiPriority w:val="99"/>
    <w:semiHidden/>
    <w:unhideWhenUsed/>
    <w:rsid w:val="00BC4900"/>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BC4900"/>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BC4900"/>
    <w:rPr>
      <w:rFonts w:ascii="Times" w:hAnsi="Times"/>
      <w:sz w:val="20"/>
      <w:szCs w:val="20"/>
    </w:rPr>
  </w:style>
  <w:style w:type="paragraph" w:styleId="BalloonText">
    <w:name w:val="Balloon Text"/>
    <w:basedOn w:val="Normal"/>
    <w:link w:val="BalloonTextChar"/>
    <w:uiPriority w:val="99"/>
    <w:semiHidden/>
    <w:unhideWhenUsed/>
    <w:rsid w:val="00BC490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90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438028">
      <w:bodyDiv w:val="1"/>
      <w:marLeft w:val="0"/>
      <w:marRight w:val="0"/>
      <w:marTop w:val="0"/>
      <w:marBottom w:val="0"/>
      <w:divBdr>
        <w:top w:val="none" w:sz="0" w:space="0" w:color="auto"/>
        <w:left w:val="none" w:sz="0" w:space="0" w:color="auto"/>
        <w:bottom w:val="none" w:sz="0" w:space="0" w:color="auto"/>
        <w:right w:val="none" w:sz="0" w:space="0" w:color="auto"/>
      </w:divBdr>
      <w:divsChild>
        <w:div w:id="2100326997">
          <w:marLeft w:val="0"/>
          <w:marRight w:val="0"/>
          <w:marTop w:val="0"/>
          <w:marBottom w:val="0"/>
          <w:divBdr>
            <w:top w:val="none" w:sz="0" w:space="0" w:color="auto"/>
            <w:left w:val="none" w:sz="0" w:space="0" w:color="auto"/>
            <w:bottom w:val="none" w:sz="0" w:space="0" w:color="auto"/>
            <w:right w:val="none" w:sz="0" w:space="0" w:color="auto"/>
          </w:divBdr>
        </w:div>
        <w:div w:id="5446806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3668</Words>
  <Characters>20908</Characters>
  <Application>Microsoft Macintosh Word</Application>
  <DocSecurity>0</DocSecurity>
  <Lines>174</Lines>
  <Paragraphs>49</Paragraphs>
  <ScaleCrop>false</ScaleCrop>
  <Company>Friends of Alewife Reservation</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Mass</dc:creator>
  <cp:keywords/>
  <dc:description/>
  <cp:lastModifiedBy>Ellen Mass</cp:lastModifiedBy>
  <cp:revision>2</cp:revision>
  <dcterms:created xsi:type="dcterms:W3CDTF">2014-07-28T21:52:00Z</dcterms:created>
  <dcterms:modified xsi:type="dcterms:W3CDTF">2014-07-28T21:52:00Z</dcterms:modified>
</cp:coreProperties>
</file>